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196E" w14:textId="77777777" w:rsidR="00400165" w:rsidRDefault="008A3B94">
      <w:pPr>
        <w:ind w:left="201"/>
        <w:rPr>
          <w:rFonts w:ascii="Times New Roman"/>
          <w:sz w:val="20"/>
        </w:rPr>
      </w:pPr>
      <w:r>
        <w:rPr>
          <w:rFonts w:ascii="Times New Roman"/>
          <w:noProof/>
          <w:sz w:val="20"/>
        </w:rPr>
        <w:drawing>
          <wp:inline distT="0" distB="0" distL="0" distR="0" wp14:anchorId="3EA919A8" wp14:editId="3EA919A9">
            <wp:extent cx="3511295" cy="6583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511295" cy="658368"/>
                    </a:xfrm>
                    <a:prstGeom prst="rect">
                      <a:avLst/>
                    </a:prstGeom>
                  </pic:spPr>
                </pic:pic>
              </a:graphicData>
            </a:graphic>
          </wp:inline>
        </w:drawing>
      </w:r>
    </w:p>
    <w:p w14:paraId="3EA9196F" w14:textId="77777777" w:rsidR="00400165" w:rsidRDefault="00400165">
      <w:pPr>
        <w:pStyle w:val="BodyText"/>
        <w:rPr>
          <w:rFonts w:ascii="Times New Roman"/>
          <w:sz w:val="32"/>
        </w:rPr>
      </w:pPr>
    </w:p>
    <w:p w14:paraId="3EA91970" w14:textId="77777777" w:rsidR="00400165" w:rsidRDefault="00400165">
      <w:pPr>
        <w:pStyle w:val="BodyText"/>
        <w:spacing w:before="101"/>
        <w:rPr>
          <w:rFonts w:ascii="Times New Roman"/>
          <w:sz w:val="32"/>
        </w:rPr>
      </w:pPr>
    </w:p>
    <w:p w14:paraId="3EA91971" w14:textId="77777777" w:rsidR="00400165" w:rsidRDefault="008A3B94">
      <w:pPr>
        <w:pStyle w:val="Heading1"/>
      </w:pPr>
      <w:bookmarkStart w:id="0" w:name="Michigan_Maternal_Health_Quality_Improve"/>
      <w:bookmarkEnd w:id="0"/>
      <w:r>
        <w:rPr>
          <w:color w:val="2D74B5"/>
          <w:w w:val="115"/>
        </w:rPr>
        <w:t>Michigan</w:t>
      </w:r>
      <w:r>
        <w:rPr>
          <w:color w:val="2D74B5"/>
          <w:spacing w:val="6"/>
          <w:w w:val="115"/>
        </w:rPr>
        <w:t xml:space="preserve"> </w:t>
      </w:r>
      <w:r>
        <w:rPr>
          <w:color w:val="2D74B5"/>
          <w:w w:val="115"/>
        </w:rPr>
        <w:t>Maternal</w:t>
      </w:r>
      <w:r>
        <w:rPr>
          <w:color w:val="2D74B5"/>
          <w:spacing w:val="4"/>
          <w:w w:val="115"/>
        </w:rPr>
        <w:t xml:space="preserve"> </w:t>
      </w:r>
      <w:r>
        <w:rPr>
          <w:color w:val="2D74B5"/>
          <w:w w:val="115"/>
        </w:rPr>
        <w:t>Health</w:t>
      </w:r>
      <w:r>
        <w:rPr>
          <w:color w:val="2D74B5"/>
          <w:spacing w:val="3"/>
          <w:w w:val="115"/>
        </w:rPr>
        <w:t xml:space="preserve"> </w:t>
      </w:r>
      <w:r>
        <w:rPr>
          <w:color w:val="2D74B5"/>
          <w:w w:val="115"/>
        </w:rPr>
        <w:t>Quality</w:t>
      </w:r>
      <w:r>
        <w:rPr>
          <w:color w:val="2D74B5"/>
          <w:spacing w:val="2"/>
          <w:w w:val="115"/>
        </w:rPr>
        <w:t xml:space="preserve"> </w:t>
      </w:r>
      <w:r>
        <w:rPr>
          <w:color w:val="2D74B5"/>
          <w:w w:val="115"/>
        </w:rPr>
        <w:t>Improvement</w:t>
      </w:r>
      <w:r>
        <w:rPr>
          <w:color w:val="2D74B5"/>
          <w:spacing w:val="5"/>
          <w:w w:val="115"/>
        </w:rPr>
        <w:t xml:space="preserve"> </w:t>
      </w:r>
      <w:r>
        <w:rPr>
          <w:color w:val="2D74B5"/>
          <w:spacing w:val="-2"/>
          <w:w w:val="115"/>
        </w:rPr>
        <w:t>Support</w:t>
      </w:r>
    </w:p>
    <w:p w14:paraId="3EA91972" w14:textId="77777777" w:rsidR="00400165" w:rsidRDefault="008A3B94">
      <w:pPr>
        <w:spacing w:line="390" w:lineRule="exact"/>
        <w:ind w:left="3" w:right="4"/>
        <w:jc w:val="center"/>
        <w:rPr>
          <w:i/>
          <w:sz w:val="32"/>
        </w:rPr>
      </w:pPr>
      <w:bookmarkStart w:id="1" w:name="Maternal_Levels_of_Care_(MLC)_Verificati"/>
      <w:bookmarkEnd w:id="1"/>
      <w:r>
        <w:rPr>
          <w:i/>
          <w:color w:val="2D74B5"/>
          <w:w w:val="110"/>
          <w:sz w:val="32"/>
        </w:rPr>
        <w:t>Maternal</w:t>
      </w:r>
      <w:r>
        <w:rPr>
          <w:i/>
          <w:color w:val="2D74B5"/>
          <w:spacing w:val="2"/>
          <w:w w:val="110"/>
          <w:sz w:val="32"/>
        </w:rPr>
        <w:t xml:space="preserve"> </w:t>
      </w:r>
      <w:r>
        <w:rPr>
          <w:i/>
          <w:color w:val="2D74B5"/>
          <w:w w:val="110"/>
          <w:sz w:val="32"/>
        </w:rPr>
        <w:t>Levels</w:t>
      </w:r>
      <w:r>
        <w:rPr>
          <w:i/>
          <w:color w:val="2D74B5"/>
          <w:spacing w:val="5"/>
          <w:w w:val="110"/>
          <w:sz w:val="32"/>
        </w:rPr>
        <w:t xml:space="preserve"> </w:t>
      </w:r>
      <w:r>
        <w:rPr>
          <w:i/>
          <w:color w:val="2D74B5"/>
          <w:w w:val="110"/>
          <w:sz w:val="32"/>
        </w:rPr>
        <w:t>of</w:t>
      </w:r>
      <w:r>
        <w:rPr>
          <w:i/>
          <w:color w:val="2D74B5"/>
          <w:spacing w:val="2"/>
          <w:w w:val="110"/>
          <w:sz w:val="32"/>
        </w:rPr>
        <w:t xml:space="preserve"> </w:t>
      </w:r>
      <w:r>
        <w:rPr>
          <w:i/>
          <w:color w:val="2D74B5"/>
          <w:w w:val="110"/>
          <w:sz w:val="32"/>
        </w:rPr>
        <w:t>Care</w:t>
      </w:r>
      <w:r>
        <w:rPr>
          <w:i/>
          <w:color w:val="2D74B5"/>
          <w:spacing w:val="3"/>
          <w:w w:val="110"/>
          <w:sz w:val="32"/>
        </w:rPr>
        <w:t xml:space="preserve"> </w:t>
      </w:r>
      <w:r>
        <w:rPr>
          <w:i/>
          <w:color w:val="2D74B5"/>
          <w:w w:val="110"/>
          <w:sz w:val="32"/>
        </w:rPr>
        <w:t>(MLC)</w:t>
      </w:r>
      <w:r>
        <w:rPr>
          <w:i/>
          <w:color w:val="2D74B5"/>
          <w:spacing w:val="3"/>
          <w:w w:val="110"/>
          <w:sz w:val="32"/>
        </w:rPr>
        <w:t xml:space="preserve"> </w:t>
      </w:r>
      <w:r>
        <w:rPr>
          <w:i/>
          <w:color w:val="2D74B5"/>
          <w:w w:val="110"/>
          <w:sz w:val="32"/>
        </w:rPr>
        <w:t>Verification</w:t>
      </w:r>
      <w:r>
        <w:rPr>
          <w:i/>
          <w:color w:val="2D74B5"/>
          <w:spacing w:val="3"/>
          <w:w w:val="110"/>
          <w:sz w:val="32"/>
        </w:rPr>
        <w:t xml:space="preserve"> </w:t>
      </w:r>
      <w:r>
        <w:rPr>
          <w:i/>
          <w:color w:val="2D74B5"/>
          <w:w w:val="110"/>
          <w:sz w:val="32"/>
        </w:rPr>
        <w:t>Cost</w:t>
      </w:r>
      <w:r>
        <w:rPr>
          <w:i/>
          <w:color w:val="2D74B5"/>
          <w:spacing w:val="5"/>
          <w:w w:val="110"/>
          <w:sz w:val="32"/>
        </w:rPr>
        <w:t xml:space="preserve"> </w:t>
      </w:r>
      <w:r>
        <w:rPr>
          <w:i/>
          <w:color w:val="2D74B5"/>
          <w:spacing w:val="-2"/>
          <w:w w:val="110"/>
          <w:sz w:val="32"/>
        </w:rPr>
        <w:t>Coverage</w:t>
      </w:r>
    </w:p>
    <w:p w14:paraId="3EA91973" w14:textId="2FE6FB0E" w:rsidR="00400165" w:rsidRDefault="008A3B94">
      <w:pPr>
        <w:spacing w:before="223"/>
        <w:ind w:left="3" w:right="4"/>
        <w:jc w:val="center"/>
        <w:rPr>
          <w:b/>
          <w:sz w:val="24"/>
        </w:rPr>
      </w:pPr>
      <w:r>
        <w:rPr>
          <w:b/>
          <w:color w:val="FF0000"/>
          <w:w w:val="115"/>
          <w:sz w:val="24"/>
        </w:rPr>
        <w:t>Updated</w:t>
      </w:r>
      <w:r>
        <w:rPr>
          <w:b/>
          <w:color w:val="FF0000"/>
          <w:spacing w:val="10"/>
          <w:w w:val="120"/>
          <w:sz w:val="24"/>
        </w:rPr>
        <w:t xml:space="preserve"> </w:t>
      </w:r>
      <w:r w:rsidR="003E34F1">
        <w:rPr>
          <w:b/>
          <w:color w:val="FF0000"/>
          <w:spacing w:val="-2"/>
          <w:w w:val="120"/>
          <w:sz w:val="24"/>
        </w:rPr>
        <w:t>1</w:t>
      </w:r>
      <w:r>
        <w:rPr>
          <w:b/>
          <w:color w:val="FF0000"/>
          <w:spacing w:val="-2"/>
          <w:w w:val="120"/>
          <w:sz w:val="24"/>
        </w:rPr>
        <w:t>.1</w:t>
      </w:r>
      <w:r w:rsidR="003E34F1">
        <w:rPr>
          <w:b/>
          <w:color w:val="FF0000"/>
          <w:spacing w:val="-2"/>
          <w:w w:val="120"/>
          <w:sz w:val="24"/>
        </w:rPr>
        <w:t>5</w:t>
      </w:r>
      <w:r>
        <w:rPr>
          <w:b/>
          <w:color w:val="FF0000"/>
          <w:spacing w:val="-2"/>
          <w:w w:val="120"/>
          <w:sz w:val="24"/>
        </w:rPr>
        <w:t>.2</w:t>
      </w:r>
      <w:r w:rsidR="003E34F1">
        <w:rPr>
          <w:b/>
          <w:color w:val="FF0000"/>
          <w:spacing w:val="-2"/>
          <w:w w:val="120"/>
          <w:sz w:val="24"/>
        </w:rPr>
        <w:t>6</w:t>
      </w:r>
    </w:p>
    <w:p w14:paraId="3EA91974" w14:textId="77777777" w:rsidR="00400165" w:rsidRDefault="008A3B94">
      <w:pPr>
        <w:pStyle w:val="Heading2"/>
        <w:spacing w:before="284"/>
        <w:rPr>
          <w:u w:val="none"/>
        </w:rPr>
      </w:pPr>
      <w:bookmarkStart w:id="2" w:name="Background"/>
      <w:bookmarkEnd w:id="2"/>
      <w:r>
        <w:rPr>
          <w:color w:val="2D74B5"/>
          <w:spacing w:val="-2"/>
          <w:w w:val="115"/>
          <w:u w:val="none"/>
        </w:rPr>
        <w:t>Background</w:t>
      </w:r>
    </w:p>
    <w:p w14:paraId="3EA91975" w14:textId="6AC143D8" w:rsidR="00400165" w:rsidRDefault="008A3B94">
      <w:pPr>
        <w:pStyle w:val="BodyText"/>
        <w:spacing w:line="237" w:lineRule="auto"/>
        <w:ind w:left="720" w:right="781"/>
      </w:pPr>
      <w:r>
        <w:rPr>
          <w:w w:val="110"/>
        </w:rPr>
        <w:t>The Michigan Department of Health and Human Services (MDHHS) is providing Fiscal Year 202</w:t>
      </w:r>
      <w:r w:rsidR="003E34F1">
        <w:rPr>
          <w:w w:val="110"/>
        </w:rPr>
        <w:t>6</w:t>
      </w:r>
      <w:r>
        <w:rPr>
          <w:w w:val="110"/>
        </w:rPr>
        <w:t xml:space="preserve"> Hospital Maternal Health Quality Payments to birthing hospitals who participate in the Michigan Alliance for Innovation on Maternal Health (MI AIM) collaborative and have committed to The Joint Commission’s Maternal Levels of Care (MLC) Verification Program.</w:t>
      </w:r>
    </w:p>
    <w:p w14:paraId="3EA91976" w14:textId="77777777" w:rsidR="00400165" w:rsidRDefault="00400165">
      <w:pPr>
        <w:pStyle w:val="BodyText"/>
        <w:spacing w:before="3"/>
      </w:pPr>
    </w:p>
    <w:p w14:paraId="3EA91977" w14:textId="5C2D3BD8" w:rsidR="00400165" w:rsidRDefault="008A3B94">
      <w:pPr>
        <w:pStyle w:val="BodyText"/>
        <w:spacing w:line="237" w:lineRule="auto"/>
        <w:ind w:left="720" w:right="781"/>
      </w:pPr>
      <w:r>
        <w:rPr>
          <w:w w:val="110"/>
        </w:rPr>
        <w:t>To receive the quality payments in 202</w:t>
      </w:r>
      <w:r w:rsidR="003E34F1">
        <w:rPr>
          <w:w w:val="110"/>
        </w:rPr>
        <w:t>6</w:t>
      </w:r>
      <w:r>
        <w:rPr>
          <w:w w:val="110"/>
        </w:rPr>
        <w:t xml:space="preserve">, Michigan </w:t>
      </w:r>
      <w:proofErr w:type="gramStart"/>
      <w:r>
        <w:rPr>
          <w:w w:val="110"/>
        </w:rPr>
        <w:t>birthing</w:t>
      </w:r>
      <w:proofErr w:type="gramEnd"/>
      <w:r>
        <w:rPr>
          <w:w w:val="110"/>
        </w:rPr>
        <w:t xml:space="preserve"> hospitals must meet specific AIM and MLC requirements by </w:t>
      </w:r>
      <w:r>
        <w:rPr>
          <w:b/>
          <w:w w:val="110"/>
        </w:rPr>
        <w:t>July 31, 202</w:t>
      </w:r>
      <w:r w:rsidR="003E34F1">
        <w:rPr>
          <w:b/>
          <w:w w:val="110"/>
        </w:rPr>
        <w:t>6</w:t>
      </w:r>
      <w:r>
        <w:rPr>
          <w:w w:val="110"/>
        </w:rPr>
        <w:t xml:space="preserve">. Visit the </w:t>
      </w:r>
      <w:hyperlink r:id="rId5">
        <w:r>
          <w:rPr>
            <w:color w:val="0562C1"/>
            <w:w w:val="110"/>
            <w:u w:val="single" w:color="0562C1"/>
          </w:rPr>
          <w:t>MHA website</w:t>
        </w:r>
      </w:hyperlink>
      <w:r>
        <w:rPr>
          <w:color w:val="0562C1"/>
          <w:w w:val="110"/>
        </w:rPr>
        <w:t xml:space="preserve"> </w:t>
      </w:r>
      <w:r>
        <w:rPr>
          <w:w w:val="110"/>
        </w:rPr>
        <w:t>to review quality payment requirements for 202</w:t>
      </w:r>
      <w:r w:rsidR="003E34F1">
        <w:rPr>
          <w:w w:val="110"/>
        </w:rPr>
        <w:t>6</w:t>
      </w:r>
      <w:r>
        <w:rPr>
          <w:w w:val="110"/>
        </w:rPr>
        <w:t>.</w:t>
      </w:r>
    </w:p>
    <w:p w14:paraId="3EA91978" w14:textId="77777777" w:rsidR="00400165" w:rsidRDefault="008A3B94">
      <w:pPr>
        <w:pStyle w:val="BodyText"/>
        <w:spacing w:before="266"/>
        <w:ind w:left="720" w:right="781"/>
      </w:pPr>
      <w:r>
        <w:rPr>
          <w:w w:val="110"/>
        </w:rPr>
        <w:t>This opportunity also includes coverage of hospital costs associated with The Joint Commission’s MLC Verification.</w:t>
      </w:r>
    </w:p>
    <w:p w14:paraId="3EA91979" w14:textId="77777777" w:rsidR="00400165" w:rsidRDefault="00400165">
      <w:pPr>
        <w:pStyle w:val="BodyText"/>
        <w:spacing w:before="12"/>
      </w:pPr>
    </w:p>
    <w:p w14:paraId="3EA9197A" w14:textId="77777777" w:rsidR="00400165" w:rsidRDefault="008A3B94">
      <w:pPr>
        <w:pStyle w:val="Heading2"/>
        <w:rPr>
          <w:u w:val="none"/>
        </w:rPr>
      </w:pPr>
      <w:bookmarkStart w:id="3" w:name="MLC_Verification_Cost_Coverage"/>
      <w:bookmarkEnd w:id="3"/>
      <w:r>
        <w:rPr>
          <w:color w:val="2D74B5"/>
          <w:w w:val="110"/>
          <w:u w:val="none"/>
        </w:rPr>
        <w:t>MLC</w:t>
      </w:r>
      <w:r>
        <w:rPr>
          <w:color w:val="2D74B5"/>
          <w:spacing w:val="13"/>
          <w:w w:val="110"/>
          <w:u w:val="none"/>
        </w:rPr>
        <w:t xml:space="preserve"> </w:t>
      </w:r>
      <w:r>
        <w:rPr>
          <w:color w:val="2D74B5"/>
          <w:w w:val="110"/>
          <w:u w:val="none"/>
        </w:rPr>
        <w:t>Verification</w:t>
      </w:r>
      <w:r>
        <w:rPr>
          <w:color w:val="2D74B5"/>
          <w:spacing w:val="14"/>
          <w:w w:val="110"/>
          <w:u w:val="none"/>
        </w:rPr>
        <w:t xml:space="preserve"> </w:t>
      </w:r>
      <w:r>
        <w:rPr>
          <w:color w:val="2D74B5"/>
          <w:w w:val="110"/>
          <w:u w:val="none"/>
        </w:rPr>
        <w:t>Cost</w:t>
      </w:r>
      <w:r>
        <w:rPr>
          <w:color w:val="2D74B5"/>
          <w:spacing w:val="12"/>
          <w:w w:val="110"/>
          <w:u w:val="none"/>
        </w:rPr>
        <w:t xml:space="preserve"> </w:t>
      </w:r>
      <w:r>
        <w:rPr>
          <w:color w:val="2D74B5"/>
          <w:spacing w:val="-2"/>
          <w:w w:val="110"/>
          <w:u w:val="none"/>
        </w:rPr>
        <w:t>Coverage</w:t>
      </w:r>
    </w:p>
    <w:p w14:paraId="3EA9197B" w14:textId="77777777" w:rsidR="00400165" w:rsidRDefault="008A3B94">
      <w:pPr>
        <w:spacing w:line="266" w:lineRule="exact"/>
        <w:ind w:left="720"/>
        <w:rPr>
          <w:b/>
        </w:rPr>
      </w:pPr>
      <w:r>
        <w:rPr>
          <w:w w:val="110"/>
        </w:rPr>
        <w:t>The</w:t>
      </w:r>
      <w:r>
        <w:rPr>
          <w:spacing w:val="10"/>
          <w:w w:val="110"/>
        </w:rPr>
        <w:t xml:space="preserve"> </w:t>
      </w:r>
      <w:r>
        <w:rPr>
          <w:w w:val="110"/>
        </w:rPr>
        <w:t>costs</w:t>
      </w:r>
      <w:r>
        <w:rPr>
          <w:spacing w:val="10"/>
          <w:w w:val="110"/>
        </w:rPr>
        <w:t xml:space="preserve"> </w:t>
      </w:r>
      <w:r>
        <w:rPr>
          <w:w w:val="110"/>
        </w:rPr>
        <w:t>associated</w:t>
      </w:r>
      <w:r>
        <w:rPr>
          <w:spacing w:val="7"/>
          <w:w w:val="110"/>
        </w:rPr>
        <w:t xml:space="preserve"> </w:t>
      </w:r>
      <w:r>
        <w:rPr>
          <w:w w:val="110"/>
        </w:rPr>
        <w:t>with</w:t>
      </w:r>
      <w:r>
        <w:rPr>
          <w:spacing w:val="11"/>
          <w:w w:val="110"/>
        </w:rPr>
        <w:t xml:space="preserve"> </w:t>
      </w:r>
      <w:r>
        <w:rPr>
          <w:w w:val="110"/>
        </w:rPr>
        <w:t>MLC</w:t>
      </w:r>
      <w:r>
        <w:rPr>
          <w:spacing w:val="8"/>
          <w:w w:val="110"/>
        </w:rPr>
        <w:t xml:space="preserve"> </w:t>
      </w:r>
      <w:r>
        <w:rPr>
          <w:w w:val="110"/>
        </w:rPr>
        <w:t>verification</w:t>
      </w:r>
      <w:r>
        <w:rPr>
          <w:spacing w:val="9"/>
          <w:w w:val="110"/>
        </w:rPr>
        <w:t xml:space="preserve"> </w:t>
      </w:r>
      <w:r>
        <w:rPr>
          <w:w w:val="110"/>
        </w:rPr>
        <w:t>–</w:t>
      </w:r>
      <w:r>
        <w:rPr>
          <w:spacing w:val="9"/>
          <w:w w:val="110"/>
        </w:rPr>
        <w:t xml:space="preserve"> </w:t>
      </w:r>
      <w:r>
        <w:rPr>
          <w:w w:val="110"/>
        </w:rPr>
        <w:t>including</w:t>
      </w:r>
      <w:r>
        <w:rPr>
          <w:spacing w:val="10"/>
          <w:w w:val="110"/>
        </w:rPr>
        <w:t xml:space="preserve"> </w:t>
      </w:r>
      <w:r>
        <w:rPr>
          <w:w w:val="110"/>
        </w:rPr>
        <w:t>the</w:t>
      </w:r>
      <w:r>
        <w:rPr>
          <w:spacing w:val="7"/>
          <w:w w:val="110"/>
        </w:rPr>
        <w:t xml:space="preserve"> </w:t>
      </w:r>
      <w:r>
        <w:rPr>
          <w:b/>
          <w:w w:val="110"/>
        </w:rPr>
        <w:t>annual</w:t>
      </w:r>
      <w:r>
        <w:rPr>
          <w:b/>
          <w:spacing w:val="6"/>
          <w:w w:val="110"/>
        </w:rPr>
        <w:t xml:space="preserve"> </w:t>
      </w:r>
      <w:r>
        <w:rPr>
          <w:b/>
          <w:w w:val="110"/>
        </w:rPr>
        <w:t>fee</w:t>
      </w:r>
      <w:r>
        <w:rPr>
          <w:b/>
          <w:spacing w:val="10"/>
          <w:w w:val="110"/>
        </w:rPr>
        <w:t xml:space="preserve"> </w:t>
      </w:r>
      <w:r>
        <w:rPr>
          <w:b/>
          <w:w w:val="110"/>
        </w:rPr>
        <w:t>for</w:t>
      </w:r>
      <w:r>
        <w:rPr>
          <w:b/>
          <w:spacing w:val="9"/>
          <w:w w:val="110"/>
        </w:rPr>
        <w:t xml:space="preserve"> </w:t>
      </w:r>
      <w:r>
        <w:rPr>
          <w:b/>
          <w:w w:val="110"/>
        </w:rPr>
        <w:t>a</w:t>
      </w:r>
      <w:r>
        <w:rPr>
          <w:b/>
          <w:spacing w:val="9"/>
          <w:w w:val="110"/>
        </w:rPr>
        <w:t xml:space="preserve"> </w:t>
      </w:r>
      <w:r>
        <w:rPr>
          <w:b/>
          <w:w w:val="110"/>
        </w:rPr>
        <w:t>period</w:t>
      </w:r>
      <w:r>
        <w:rPr>
          <w:b/>
          <w:spacing w:val="9"/>
          <w:w w:val="110"/>
        </w:rPr>
        <w:t xml:space="preserve"> </w:t>
      </w:r>
      <w:r>
        <w:rPr>
          <w:b/>
          <w:w w:val="110"/>
        </w:rPr>
        <w:t>of</w:t>
      </w:r>
      <w:r>
        <w:rPr>
          <w:b/>
          <w:spacing w:val="10"/>
          <w:w w:val="110"/>
        </w:rPr>
        <w:t xml:space="preserve"> </w:t>
      </w:r>
      <w:r>
        <w:rPr>
          <w:b/>
          <w:spacing w:val="-2"/>
          <w:w w:val="110"/>
        </w:rPr>
        <w:t>three</w:t>
      </w:r>
    </w:p>
    <w:p w14:paraId="3EA9197C" w14:textId="77777777" w:rsidR="00400165" w:rsidRDefault="008A3B94">
      <w:pPr>
        <w:spacing w:before="1" w:line="237" w:lineRule="auto"/>
        <w:ind w:left="719" w:right="781"/>
      </w:pPr>
      <w:r>
        <w:rPr>
          <w:b/>
          <w:w w:val="110"/>
        </w:rPr>
        <w:t>(3)</w:t>
      </w:r>
      <w:r>
        <w:rPr>
          <w:b/>
          <w:spacing w:val="22"/>
          <w:w w:val="110"/>
        </w:rPr>
        <w:t xml:space="preserve"> </w:t>
      </w:r>
      <w:r>
        <w:rPr>
          <w:b/>
          <w:w w:val="110"/>
        </w:rPr>
        <w:t>years</w:t>
      </w:r>
      <w:r>
        <w:rPr>
          <w:b/>
          <w:spacing w:val="22"/>
          <w:w w:val="110"/>
        </w:rPr>
        <w:t xml:space="preserve"> </w:t>
      </w:r>
      <w:r>
        <w:rPr>
          <w:b/>
          <w:w w:val="110"/>
        </w:rPr>
        <w:t>and</w:t>
      </w:r>
      <w:r>
        <w:rPr>
          <w:b/>
          <w:spacing w:val="25"/>
          <w:w w:val="110"/>
        </w:rPr>
        <w:t xml:space="preserve"> </w:t>
      </w:r>
      <w:r>
        <w:rPr>
          <w:b/>
          <w:w w:val="110"/>
        </w:rPr>
        <w:t>the</w:t>
      </w:r>
      <w:r>
        <w:rPr>
          <w:b/>
          <w:spacing w:val="23"/>
          <w:w w:val="110"/>
        </w:rPr>
        <w:t xml:space="preserve"> </w:t>
      </w:r>
      <w:r>
        <w:rPr>
          <w:b/>
          <w:w w:val="110"/>
        </w:rPr>
        <w:t>on-site</w:t>
      </w:r>
      <w:r>
        <w:rPr>
          <w:b/>
          <w:spacing w:val="23"/>
          <w:w w:val="110"/>
        </w:rPr>
        <w:t xml:space="preserve"> </w:t>
      </w:r>
      <w:r>
        <w:rPr>
          <w:b/>
          <w:w w:val="110"/>
        </w:rPr>
        <w:t>verification</w:t>
      </w:r>
      <w:r>
        <w:rPr>
          <w:b/>
          <w:spacing w:val="20"/>
          <w:w w:val="110"/>
        </w:rPr>
        <w:t xml:space="preserve"> </w:t>
      </w:r>
      <w:r>
        <w:rPr>
          <w:b/>
          <w:w w:val="110"/>
        </w:rPr>
        <w:t>fee</w:t>
      </w:r>
      <w:r>
        <w:rPr>
          <w:b/>
          <w:spacing w:val="23"/>
          <w:w w:val="110"/>
        </w:rPr>
        <w:t xml:space="preserve"> </w:t>
      </w:r>
      <w:r>
        <w:rPr>
          <w:b/>
          <w:w w:val="110"/>
        </w:rPr>
        <w:t>(once</w:t>
      </w:r>
      <w:r>
        <w:rPr>
          <w:b/>
          <w:spacing w:val="20"/>
          <w:w w:val="110"/>
        </w:rPr>
        <w:t xml:space="preserve"> </w:t>
      </w:r>
      <w:r>
        <w:rPr>
          <w:b/>
          <w:w w:val="110"/>
        </w:rPr>
        <w:t>per</w:t>
      </w:r>
      <w:r>
        <w:rPr>
          <w:b/>
          <w:spacing w:val="22"/>
          <w:w w:val="110"/>
        </w:rPr>
        <w:t xml:space="preserve"> </w:t>
      </w:r>
      <w:r>
        <w:rPr>
          <w:b/>
          <w:w w:val="110"/>
        </w:rPr>
        <w:t>three</w:t>
      </w:r>
      <w:r>
        <w:rPr>
          <w:b/>
          <w:spacing w:val="23"/>
          <w:w w:val="110"/>
        </w:rPr>
        <w:t xml:space="preserve"> </w:t>
      </w:r>
      <w:r>
        <w:rPr>
          <w:b/>
          <w:w w:val="110"/>
        </w:rPr>
        <w:t>years</w:t>
      </w:r>
      <w:r>
        <w:rPr>
          <w:w w:val="110"/>
        </w:rPr>
        <w:t>)</w:t>
      </w:r>
      <w:r>
        <w:rPr>
          <w:spacing w:val="20"/>
          <w:w w:val="110"/>
        </w:rPr>
        <w:t xml:space="preserve"> </w:t>
      </w:r>
      <w:r>
        <w:rPr>
          <w:w w:val="110"/>
        </w:rPr>
        <w:t>–</w:t>
      </w:r>
      <w:r>
        <w:rPr>
          <w:spacing w:val="23"/>
          <w:w w:val="110"/>
        </w:rPr>
        <w:t xml:space="preserve"> </w:t>
      </w:r>
      <w:r>
        <w:rPr>
          <w:w w:val="110"/>
        </w:rPr>
        <w:t>are</w:t>
      </w:r>
      <w:r>
        <w:rPr>
          <w:spacing w:val="20"/>
          <w:w w:val="110"/>
        </w:rPr>
        <w:t xml:space="preserve"> </w:t>
      </w:r>
      <w:r>
        <w:rPr>
          <w:w w:val="110"/>
        </w:rPr>
        <w:t>covered</w:t>
      </w:r>
      <w:r>
        <w:rPr>
          <w:spacing w:val="20"/>
          <w:w w:val="110"/>
        </w:rPr>
        <w:t xml:space="preserve"> </w:t>
      </w:r>
      <w:r>
        <w:rPr>
          <w:w w:val="110"/>
        </w:rPr>
        <w:t>by</w:t>
      </w:r>
      <w:r>
        <w:rPr>
          <w:spacing w:val="20"/>
          <w:w w:val="110"/>
        </w:rPr>
        <w:t xml:space="preserve"> </w:t>
      </w:r>
      <w:r>
        <w:rPr>
          <w:w w:val="110"/>
        </w:rPr>
        <w:t>MDHHS via the MHA Keystone Center.</w:t>
      </w:r>
    </w:p>
    <w:p w14:paraId="3EA9197D" w14:textId="77777777" w:rsidR="00400165" w:rsidRDefault="00400165">
      <w:pPr>
        <w:pStyle w:val="BodyText"/>
        <w:spacing w:before="2"/>
      </w:pPr>
    </w:p>
    <w:p w14:paraId="3EA9197E" w14:textId="77777777" w:rsidR="00400165" w:rsidRDefault="008A3B94">
      <w:pPr>
        <w:pStyle w:val="BodyText"/>
        <w:spacing w:line="237" w:lineRule="auto"/>
        <w:ind w:left="719" w:right="781"/>
      </w:pPr>
      <w:r>
        <w:rPr>
          <w:w w:val="110"/>
        </w:rPr>
        <w:t>Hospitals apply for the MLC verification through TJC’s Connect portal. Upon submitting the verification</w:t>
      </w:r>
      <w:r>
        <w:rPr>
          <w:spacing w:val="30"/>
          <w:w w:val="110"/>
        </w:rPr>
        <w:t xml:space="preserve"> </w:t>
      </w:r>
      <w:r>
        <w:rPr>
          <w:w w:val="110"/>
        </w:rPr>
        <w:t>application,</w:t>
      </w:r>
      <w:r>
        <w:rPr>
          <w:spacing w:val="28"/>
          <w:w w:val="110"/>
        </w:rPr>
        <w:t xml:space="preserve"> </w:t>
      </w:r>
      <w:r>
        <w:rPr>
          <w:w w:val="110"/>
        </w:rPr>
        <w:t>TJC</w:t>
      </w:r>
      <w:r>
        <w:rPr>
          <w:spacing w:val="30"/>
          <w:w w:val="110"/>
        </w:rPr>
        <w:t xml:space="preserve"> </w:t>
      </w:r>
      <w:r>
        <w:rPr>
          <w:w w:val="110"/>
        </w:rPr>
        <w:t>will</w:t>
      </w:r>
      <w:r>
        <w:rPr>
          <w:spacing w:val="32"/>
          <w:w w:val="110"/>
        </w:rPr>
        <w:t xml:space="preserve"> </w:t>
      </w:r>
      <w:r>
        <w:rPr>
          <w:w w:val="110"/>
        </w:rPr>
        <w:t>generate</w:t>
      </w:r>
      <w:r>
        <w:rPr>
          <w:spacing w:val="30"/>
          <w:w w:val="110"/>
        </w:rPr>
        <w:t xml:space="preserve"> </w:t>
      </w:r>
      <w:r>
        <w:rPr>
          <w:w w:val="110"/>
        </w:rPr>
        <w:t>MLC</w:t>
      </w:r>
      <w:r>
        <w:rPr>
          <w:spacing w:val="30"/>
          <w:w w:val="110"/>
        </w:rPr>
        <w:t xml:space="preserve"> </w:t>
      </w:r>
      <w:r>
        <w:rPr>
          <w:w w:val="110"/>
        </w:rPr>
        <w:t>invoices</w:t>
      </w:r>
      <w:r>
        <w:rPr>
          <w:spacing w:val="32"/>
          <w:w w:val="110"/>
        </w:rPr>
        <w:t xml:space="preserve"> </w:t>
      </w:r>
      <w:r>
        <w:rPr>
          <w:w w:val="110"/>
        </w:rPr>
        <w:t>and</w:t>
      </w:r>
      <w:r>
        <w:rPr>
          <w:spacing w:val="33"/>
          <w:w w:val="110"/>
        </w:rPr>
        <w:t xml:space="preserve"> </w:t>
      </w:r>
      <w:r>
        <w:rPr>
          <w:w w:val="110"/>
        </w:rPr>
        <w:t>post</w:t>
      </w:r>
      <w:r>
        <w:rPr>
          <w:spacing w:val="32"/>
          <w:w w:val="110"/>
        </w:rPr>
        <w:t xml:space="preserve"> </w:t>
      </w:r>
      <w:r>
        <w:rPr>
          <w:w w:val="110"/>
        </w:rPr>
        <w:t>to</w:t>
      </w:r>
      <w:r>
        <w:rPr>
          <w:spacing w:val="32"/>
          <w:w w:val="110"/>
        </w:rPr>
        <w:t xml:space="preserve"> </w:t>
      </w:r>
      <w:r>
        <w:rPr>
          <w:w w:val="110"/>
        </w:rPr>
        <w:t>the</w:t>
      </w:r>
      <w:r>
        <w:rPr>
          <w:spacing w:val="28"/>
          <w:w w:val="110"/>
        </w:rPr>
        <w:t xml:space="preserve"> </w:t>
      </w:r>
      <w:r>
        <w:rPr>
          <w:w w:val="110"/>
        </w:rPr>
        <w:t>hospital’s</w:t>
      </w:r>
      <w:r>
        <w:rPr>
          <w:spacing w:val="33"/>
          <w:w w:val="110"/>
        </w:rPr>
        <w:t xml:space="preserve"> </w:t>
      </w:r>
      <w:r>
        <w:rPr>
          <w:w w:val="110"/>
        </w:rPr>
        <w:t xml:space="preserve">TJC Connect portal. For more information about the application and verification process, visit the </w:t>
      </w:r>
      <w:hyperlink r:id="rId6" w:anchor="1717510720752-92785204-8332">
        <w:r>
          <w:rPr>
            <w:color w:val="0562C1"/>
            <w:w w:val="110"/>
            <w:u w:val="single" w:color="0562C1"/>
          </w:rPr>
          <w:t>MHA MLC toolkit.</w:t>
        </w:r>
      </w:hyperlink>
    </w:p>
    <w:p w14:paraId="3EA9197F" w14:textId="77777777" w:rsidR="00400165" w:rsidRDefault="00400165">
      <w:pPr>
        <w:pStyle w:val="BodyText"/>
        <w:spacing w:before="41"/>
      </w:pPr>
    </w:p>
    <w:p w14:paraId="3EA91980" w14:textId="77777777" w:rsidR="00400165" w:rsidRDefault="008A3B94">
      <w:pPr>
        <w:pStyle w:val="Heading2"/>
        <w:rPr>
          <w:u w:val="none"/>
        </w:rPr>
      </w:pPr>
      <w:bookmarkStart w:id="4" w:name="TJC_MLC_Invoicing_Process_–_What_to_Expe"/>
      <w:bookmarkEnd w:id="4"/>
      <w:r>
        <w:rPr>
          <w:color w:val="2D74B5"/>
          <w:w w:val="115"/>
          <w:u w:color="2D74B5"/>
        </w:rPr>
        <w:t>TJC</w:t>
      </w:r>
      <w:r>
        <w:rPr>
          <w:color w:val="2D74B5"/>
          <w:spacing w:val="-15"/>
          <w:w w:val="115"/>
          <w:u w:color="2D74B5"/>
        </w:rPr>
        <w:t xml:space="preserve"> </w:t>
      </w:r>
      <w:r>
        <w:rPr>
          <w:color w:val="2D74B5"/>
          <w:w w:val="115"/>
          <w:u w:color="2D74B5"/>
        </w:rPr>
        <w:t>MLC</w:t>
      </w:r>
      <w:r>
        <w:rPr>
          <w:color w:val="2D74B5"/>
          <w:spacing w:val="-15"/>
          <w:w w:val="115"/>
          <w:u w:color="2D74B5"/>
        </w:rPr>
        <w:t xml:space="preserve"> </w:t>
      </w:r>
      <w:r>
        <w:rPr>
          <w:color w:val="2D74B5"/>
          <w:w w:val="115"/>
          <w:u w:color="2D74B5"/>
        </w:rPr>
        <w:t>Invoicing</w:t>
      </w:r>
      <w:r>
        <w:rPr>
          <w:color w:val="2D74B5"/>
          <w:spacing w:val="-15"/>
          <w:w w:val="115"/>
          <w:u w:color="2D74B5"/>
        </w:rPr>
        <w:t xml:space="preserve"> </w:t>
      </w:r>
      <w:r>
        <w:rPr>
          <w:color w:val="2D74B5"/>
          <w:w w:val="115"/>
          <w:u w:color="2D74B5"/>
        </w:rPr>
        <w:t>Process</w:t>
      </w:r>
      <w:r>
        <w:rPr>
          <w:color w:val="2D74B5"/>
          <w:spacing w:val="-15"/>
          <w:w w:val="115"/>
          <w:u w:color="2D74B5"/>
        </w:rPr>
        <w:t xml:space="preserve"> </w:t>
      </w:r>
      <w:r>
        <w:rPr>
          <w:color w:val="2D74B5"/>
          <w:w w:val="110"/>
          <w:u w:color="2D74B5"/>
        </w:rPr>
        <w:t>–</w:t>
      </w:r>
      <w:r>
        <w:rPr>
          <w:color w:val="2D74B5"/>
          <w:spacing w:val="-12"/>
          <w:w w:val="110"/>
          <w:u w:color="2D74B5"/>
        </w:rPr>
        <w:t xml:space="preserve"> </w:t>
      </w:r>
      <w:r>
        <w:rPr>
          <w:color w:val="2D74B5"/>
          <w:w w:val="115"/>
          <w:u w:color="2D74B5"/>
        </w:rPr>
        <w:t>What</w:t>
      </w:r>
      <w:r>
        <w:rPr>
          <w:color w:val="2D74B5"/>
          <w:spacing w:val="-15"/>
          <w:w w:val="115"/>
          <w:u w:color="2D74B5"/>
        </w:rPr>
        <w:t xml:space="preserve"> </w:t>
      </w:r>
      <w:r>
        <w:rPr>
          <w:color w:val="2D74B5"/>
          <w:w w:val="115"/>
          <w:u w:color="2D74B5"/>
        </w:rPr>
        <w:t>to</w:t>
      </w:r>
      <w:r>
        <w:rPr>
          <w:color w:val="2D74B5"/>
          <w:spacing w:val="-15"/>
          <w:w w:val="115"/>
          <w:u w:color="2D74B5"/>
        </w:rPr>
        <w:t xml:space="preserve"> </w:t>
      </w:r>
      <w:r>
        <w:rPr>
          <w:color w:val="2D74B5"/>
          <w:spacing w:val="-2"/>
          <w:w w:val="115"/>
          <w:u w:color="2D74B5"/>
        </w:rPr>
        <w:t>Expect</w:t>
      </w:r>
    </w:p>
    <w:p w14:paraId="3EA91981" w14:textId="77777777" w:rsidR="00400165" w:rsidRDefault="008A3B94">
      <w:pPr>
        <w:pStyle w:val="BodyText"/>
        <w:spacing w:line="237" w:lineRule="auto"/>
        <w:ind w:left="720" w:right="781"/>
      </w:pPr>
      <w:r>
        <w:rPr>
          <w:w w:val="110"/>
        </w:rPr>
        <w:t>The initial</w:t>
      </w:r>
      <w:r>
        <w:rPr>
          <w:spacing w:val="-1"/>
          <w:w w:val="110"/>
        </w:rPr>
        <w:t xml:space="preserve"> </w:t>
      </w:r>
      <w:r>
        <w:rPr>
          <w:w w:val="110"/>
        </w:rPr>
        <w:t>invoice for</w:t>
      </w:r>
      <w:r>
        <w:rPr>
          <w:spacing w:val="-1"/>
          <w:w w:val="110"/>
        </w:rPr>
        <w:t xml:space="preserve"> </w:t>
      </w:r>
      <w:r>
        <w:rPr>
          <w:w w:val="110"/>
        </w:rPr>
        <w:t>the</w:t>
      </w:r>
      <w:r>
        <w:rPr>
          <w:spacing w:val="-2"/>
          <w:w w:val="110"/>
        </w:rPr>
        <w:t xml:space="preserve"> </w:t>
      </w:r>
      <w:r>
        <w:rPr>
          <w:w w:val="110"/>
        </w:rPr>
        <w:t>verification</w:t>
      </w:r>
      <w:r>
        <w:rPr>
          <w:spacing w:val="-4"/>
          <w:w w:val="110"/>
        </w:rPr>
        <w:t xml:space="preserve"> </w:t>
      </w:r>
      <w:r>
        <w:rPr>
          <w:w w:val="110"/>
        </w:rPr>
        <w:t>will</w:t>
      </w:r>
      <w:r>
        <w:rPr>
          <w:spacing w:val="-1"/>
          <w:w w:val="110"/>
        </w:rPr>
        <w:t xml:space="preserve"> </w:t>
      </w:r>
      <w:r>
        <w:rPr>
          <w:w w:val="110"/>
        </w:rPr>
        <w:t>cover</w:t>
      </w:r>
      <w:r>
        <w:rPr>
          <w:spacing w:val="-1"/>
          <w:w w:val="110"/>
        </w:rPr>
        <w:t xml:space="preserve"> </w:t>
      </w:r>
      <w:r>
        <w:rPr>
          <w:w w:val="110"/>
        </w:rPr>
        <w:t>a</w:t>
      </w:r>
      <w:r>
        <w:rPr>
          <w:spacing w:val="-4"/>
          <w:w w:val="110"/>
        </w:rPr>
        <w:t xml:space="preserve"> </w:t>
      </w:r>
      <w:r>
        <w:rPr>
          <w:w w:val="110"/>
        </w:rPr>
        <w:t>partial</w:t>
      </w:r>
      <w:r>
        <w:rPr>
          <w:spacing w:val="-1"/>
          <w:w w:val="110"/>
        </w:rPr>
        <w:t xml:space="preserve"> </w:t>
      </w:r>
      <w:r>
        <w:rPr>
          <w:w w:val="110"/>
        </w:rPr>
        <w:t>year</w:t>
      </w:r>
      <w:r>
        <w:rPr>
          <w:spacing w:val="-1"/>
          <w:w w:val="110"/>
        </w:rPr>
        <w:t xml:space="preserve"> </w:t>
      </w:r>
      <w:r>
        <w:rPr>
          <w:w w:val="110"/>
        </w:rPr>
        <w:t>for</w:t>
      </w:r>
      <w:r>
        <w:rPr>
          <w:spacing w:val="-1"/>
          <w:w w:val="110"/>
        </w:rPr>
        <w:t xml:space="preserve"> </w:t>
      </w:r>
      <w:r>
        <w:rPr>
          <w:w w:val="110"/>
        </w:rPr>
        <w:t>applications</w:t>
      </w:r>
      <w:r>
        <w:rPr>
          <w:spacing w:val="-1"/>
          <w:w w:val="110"/>
        </w:rPr>
        <w:t xml:space="preserve"> </w:t>
      </w:r>
      <w:r>
        <w:rPr>
          <w:w w:val="110"/>
        </w:rPr>
        <w:t>submitted after the first calendar quartile. Subsequent invoices will reflect the full annual fee for the verification program. On-site review fees will be invoiced shortly after a scheduled visit.</w:t>
      </w:r>
    </w:p>
    <w:p w14:paraId="3EA91982" w14:textId="77777777" w:rsidR="00400165" w:rsidRDefault="00400165">
      <w:pPr>
        <w:pStyle w:val="BodyText"/>
      </w:pPr>
    </w:p>
    <w:p w14:paraId="3EA91983" w14:textId="77777777" w:rsidR="00400165" w:rsidRDefault="008A3B94">
      <w:pPr>
        <w:pStyle w:val="BodyText"/>
        <w:spacing w:line="237" w:lineRule="auto"/>
        <w:ind w:left="719" w:right="910"/>
      </w:pPr>
      <w:r>
        <w:rPr>
          <w:b/>
          <w:w w:val="110"/>
        </w:rPr>
        <w:t>Hospitals</w:t>
      </w:r>
      <w:r>
        <w:rPr>
          <w:b/>
          <w:spacing w:val="40"/>
          <w:w w:val="110"/>
        </w:rPr>
        <w:t xml:space="preserve"> </w:t>
      </w:r>
      <w:r>
        <w:rPr>
          <w:b/>
          <w:w w:val="110"/>
        </w:rPr>
        <w:t>should</w:t>
      </w:r>
      <w:r>
        <w:rPr>
          <w:b/>
          <w:spacing w:val="40"/>
          <w:w w:val="110"/>
        </w:rPr>
        <w:t xml:space="preserve"> </w:t>
      </w:r>
      <w:r>
        <w:rPr>
          <w:b/>
          <w:w w:val="110"/>
        </w:rPr>
        <w:t>NOT</w:t>
      </w:r>
      <w:r>
        <w:rPr>
          <w:b/>
          <w:spacing w:val="40"/>
          <w:w w:val="110"/>
        </w:rPr>
        <w:t xml:space="preserve"> </w:t>
      </w:r>
      <w:r>
        <w:rPr>
          <w:b/>
          <w:w w:val="110"/>
        </w:rPr>
        <w:t>pay</w:t>
      </w:r>
      <w:r>
        <w:rPr>
          <w:b/>
          <w:spacing w:val="40"/>
          <w:w w:val="110"/>
        </w:rPr>
        <w:t xml:space="preserve"> </w:t>
      </w:r>
      <w:r>
        <w:rPr>
          <w:b/>
          <w:w w:val="110"/>
        </w:rPr>
        <w:t>any</w:t>
      </w:r>
      <w:r>
        <w:rPr>
          <w:b/>
          <w:spacing w:val="40"/>
          <w:w w:val="110"/>
        </w:rPr>
        <w:t xml:space="preserve"> </w:t>
      </w:r>
      <w:r>
        <w:rPr>
          <w:b/>
          <w:w w:val="110"/>
        </w:rPr>
        <w:t>invoice</w:t>
      </w:r>
      <w:r>
        <w:rPr>
          <w:b/>
          <w:spacing w:val="40"/>
          <w:w w:val="110"/>
        </w:rPr>
        <w:t xml:space="preserve"> </w:t>
      </w:r>
      <w:r>
        <w:rPr>
          <w:b/>
          <w:w w:val="110"/>
        </w:rPr>
        <w:t>associated</w:t>
      </w:r>
      <w:r>
        <w:rPr>
          <w:b/>
          <w:spacing w:val="40"/>
          <w:w w:val="110"/>
        </w:rPr>
        <w:t xml:space="preserve"> </w:t>
      </w:r>
      <w:r>
        <w:rPr>
          <w:b/>
          <w:w w:val="110"/>
        </w:rPr>
        <w:t>with</w:t>
      </w:r>
      <w:r>
        <w:rPr>
          <w:b/>
          <w:spacing w:val="40"/>
          <w:w w:val="110"/>
        </w:rPr>
        <w:t xml:space="preserve"> </w:t>
      </w:r>
      <w:r>
        <w:rPr>
          <w:b/>
          <w:w w:val="110"/>
        </w:rPr>
        <w:t>MLC</w:t>
      </w:r>
      <w:r>
        <w:rPr>
          <w:b/>
          <w:spacing w:val="40"/>
          <w:w w:val="110"/>
        </w:rPr>
        <w:t xml:space="preserve"> </w:t>
      </w:r>
      <w:r>
        <w:rPr>
          <w:b/>
          <w:w w:val="110"/>
        </w:rPr>
        <w:t>verification</w:t>
      </w:r>
      <w:r>
        <w:rPr>
          <w:w w:val="110"/>
        </w:rPr>
        <w:t>.</w:t>
      </w:r>
      <w:r>
        <w:rPr>
          <w:spacing w:val="40"/>
          <w:w w:val="110"/>
        </w:rPr>
        <w:t xml:space="preserve"> </w:t>
      </w:r>
      <w:r>
        <w:rPr>
          <w:w w:val="110"/>
        </w:rPr>
        <w:t>TJC</w:t>
      </w:r>
      <w:r>
        <w:rPr>
          <w:spacing w:val="40"/>
          <w:w w:val="110"/>
        </w:rPr>
        <w:t xml:space="preserve"> </w:t>
      </w:r>
      <w:r>
        <w:rPr>
          <w:w w:val="110"/>
        </w:rPr>
        <w:t>will</w:t>
      </w:r>
      <w:r>
        <w:rPr>
          <w:spacing w:val="40"/>
          <w:w w:val="110"/>
        </w:rPr>
        <w:t xml:space="preserve"> </w:t>
      </w:r>
      <w:r>
        <w:rPr>
          <w:w w:val="110"/>
        </w:rPr>
        <w:t>notify the MHA Keystone Center when invoices for Michigan hospital applicants are generated. Invoices will continue to post to your TJC Connect portal. The MHA Keystone Center will cover the invoices related to the MLC fees outlined below, on behalf of the hospital, directly to TJC. Invoices will be submitted to the MHA the month following their creation. Late fees will not be assessed for Michigan MLC verification services.</w:t>
      </w:r>
    </w:p>
    <w:p w14:paraId="3EA91984" w14:textId="77777777" w:rsidR="00400165" w:rsidRDefault="00400165">
      <w:pPr>
        <w:pStyle w:val="BodyText"/>
        <w:rPr>
          <w:sz w:val="20"/>
        </w:rPr>
      </w:pPr>
    </w:p>
    <w:p w14:paraId="3EA91985" w14:textId="77777777" w:rsidR="00400165" w:rsidRDefault="00400165">
      <w:pPr>
        <w:pStyle w:val="BodyText"/>
        <w:rPr>
          <w:sz w:val="20"/>
        </w:rPr>
      </w:pPr>
    </w:p>
    <w:p w14:paraId="3EA91986" w14:textId="77777777" w:rsidR="00400165" w:rsidRDefault="00400165">
      <w:pPr>
        <w:pStyle w:val="BodyText"/>
        <w:rPr>
          <w:sz w:val="20"/>
        </w:rPr>
      </w:pPr>
    </w:p>
    <w:p w14:paraId="3EA91987" w14:textId="77777777" w:rsidR="00400165" w:rsidRDefault="00400165">
      <w:pPr>
        <w:pStyle w:val="BodyText"/>
        <w:rPr>
          <w:sz w:val="20"/>
        </w:rPr>
      </w:pPr>
    </w:p>
    <w:p w14:paraId="3EA91988" w14:textId="77777777" w:rsidR="00400165" w:rsidRDefault="008A3B94">
      <w:pPr>
        <w:pStyle w:val="BodyText"/>
        <w:spacing w:before="198"/>
        <w:rPr>
          <w:sz w:val="20"/>
        </w:rPr>
      </w:pPr>
      <w:r>
        <w:rPr>
          <w:noProof/>
          <w:sz w:val="20"/>
        </w:rPr>
        <w:drawing>
          <wp:anchor distT="0" distB="0" distL="0" distR="0" simplePos="0" relativeHeight="487587840" behindDoc="1" locked="0" layoutInCell="1" allowOverlap="1" wp14:anchorId="3EA919AA" wp14:editId="3EA919AB">
            <wp:simplePos x="0" y="0"/>
            <wp:positionH relativeFrom="page">
              <wp:posOffset>1731263</wp:posOffset>
            </wp:positionH>
            <wp:positionV relativeFrom="paragraph">
              <wp:posOffset>295999</wp:posOffset>
            </wp:positionV>
            <wp:extent cx="4301581" cy="31699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01581" cy="316992"/>
                    </a:xfrm>
                    <a:prstGeom prst="rect">
                      <a:avLst/>
                    </a:prstGeom>
                  </pic:spPr>
                </pic:pic>
              </a:graphicData>
            </a:graphic>
          </wp:anchor>
        </w:drawing>
      </w:r>
    </w:p>
    <w:p w14:paraId="3EA91989" w14:textId="77777777" w:rsidR="00400165" w:rsidRDefault="00400165">
      <w:pPr>
        <w:pStyle w:val="BodyText"/>
        <w:rPr>
          <w:sz w:val="20"/>
        </w:rPr>
        <w:sectPr w:rsidR="00400165">
          <w:type w:val="continuous"/>
          <w:pgSz w:w="12240" w:h="15840"/>
          <w:pgMar w:top="660" w:right="720" w:bottom="280" w:left="720" w:header="720" w:footer="720" w:gutter="0"/>
          <w:cols w:space="720"/>
        </w:sectPr>
      </w:pPr>
    </w:p>
    <w:p w14:paraId="3EA9198A" w14:textId="77777777" w:rsidR="00400165" w:rsidRDefault="008A3B94">
      <w:pPr>
        <w:pStyle w:val="BodyText"/>
        <w:spacing w:before="84" w:line="237" w:lineRule="auto"/>
        <w:ind w:left="720" w:right="781"/>
      </w:pPr>
      <w:r>
        <w:rPr>
          <w:w w:val="110"/>
        </w:rPr>
        <w:lastRenderedPageBreak/>
        <w:t>Please note TJC Connect portal users may receive automatic reminders through the portal to pay the MLC invoice(s). These are generated automatically and should be ignored. Please communicate this with team members and TJC’s Connect portal users.</w:t>
      </w:r>
    </w:p>
    <w:p w14:paraId="3EA9198B" w14:textId="2EFD73B7" w:rsidR="00400165" w:rsidRDefault="008A3B94">
      <w:pPr>
        <w:spacing w:before="244"/>
        <w:ind w:left="2" w:right="4"/>
        <w:jc w:val="center"/>
        <w:rPr>
          <w:b/>
          <w:i/>
          <w:sz w:val="24"/>
        </w:rPr>
      </w:pPr>
      <w:r>
        <w:rPr>
          <w:b/>
          <w:i/>
          <w:w w:val="110"/>
          <w:sz w:val="24"/>
        </w:rPr>
        <w:t>The</w:t>
      </w:r>
      <w:r>
        <w:rPr>
          <w:b/>
          <w:i/>
          <w:spacing w:val="37"/>
          <w:w w:val="110"/>
          <w:sz w:val="24"/>
        </w:rPr>
        <w:t xml:space="preserve"> </w:t>
      </w:r>
      <w:r>
        <w:rPr>
          <w:b/>
          <w:i/>
          <w:w w:val="110"/>
          <w:sz w:val="24"/>
        </w:rPr>
        <w:t>Joint</w:t>
      </w:r>
      <w:r>
        <w:rPr>
          <w:b/>
          <w:i/>
          <w:spacing w:val="34"/>
          <w:w w:val="110"/>
          <w:sz w:val="24"/>
        </w:rPr>
        <w:t xml:space="preserve"> </w:t>
      </w:r>
      <w:r>
        <w:rPr>
          <w:b/>
          <w:i/>
          <w:w w:val="110"/>
          <w:sz w:val="24"/>
        </w:rPr>
        <w:t>Commission</w:t>
      </w:r>
      <w:r>
        <w:rPr>
          <w:b/>
          <w:i/>
          <w:spacing w:val="37"/>
          <w:w w:val="110"/>
          <w:sz w:val="24"/>
        </w:rPr>
        <w:t xml:space="preserve"> </w:t>
      </w:r>
      <w:r>
        <w:rPr>
          <w:b/>
          <w:i/>
          <w:w w:val="110"/>
          <w:sz w:val="24"/>
        </w:rPr>
        <w:t>Verification</w:t>
      </w:r>
      <w:r>
        <w:rPr>
          <w:b/>
          <w:i/>
          <w:spacing w:val="38"/>
          <w:w w:val="110"/>
          <w:sz w:val="24"/>
        </w:rPr>
        <w:t xml:space="preserve"> </w:t>
      </w:r>
      <w:r>
        <w:rPr>
          <w:b/>
          <w:i/>
          <w:w w:val="110"/>
          <w:sz w:val="24"/>
        </w:rPr>
        <w:t>Program</w:t>
      </w:r>
      <w:r>
        <w:rPr>
          <w:b/>
          <w:i/>
          <w:spacing w:val="37"/>
          <w:w w:val="110"/>
          <w:sz w:val="24"/>
        </w:rPr>
        <w:t xml:space="preserve"> </w:t>
      </w:r>
      <w:r>
        <w:rPr>
          <w:b/>
          <w:i/>
          <w:w w:val="110"/>
          <w:sz w:val="24"/>
        </w:rPr>
        <w:t>Costs</w:t>
      </w:r>
      <w:r>
        <w:rPr>
          <w:b/>
          <w:i/>
          <w:spacing w:val="34"/>
          <w:w w:val="110"/>
          <w:sz w:val="24"/>
        </w:rPr>
        <w:t xml:space="preserve"> </w:t>
      </w:r>
      <w:r>
        <w:rPr>
          <w:b/>
          <w:i/>
          <w:w w:val="110"/>
          <w:sz w:val="24"/>
        </w:rPr>
        <w:t>–</w:t>
      </w:r>
      <w:r>
        <w:rPr>
          <w:b/>
          <w:i/>
          <w:spacing w:val="36"/>
          <w:w w:val="110"/>
          <w:sz w:val="24"/>
        </w:rPr>
        <w:t xml:space="preserve"> </w:t>
      </w:r>
      <w:r>
        <w:rPr>
          <w:b/>
          <w:i/>
          <w:spacing w:val="-4"/>
          <w:w w:val="110"/>
          <w:sz w:val="24"/>
        </w:rPr>
        <w:t>202</w:t>
      </w:r>
      <w:r w:rsidR="00E336CD">
        <w:rPr>
          <w:b/>
          <w:i/>
          <w:spacing w:val="-4"/>
          <w:w w:val="110"/>
          <w:sz w:val="24"/>
        </w:rPr>
        <w:t>6</w:t>
      </w:r>
    </w:p>
    <w:p w14:paraId="3EA9198C" w14:textId="77777777" w:rsidR="00400165" w:rsidRDefault="00400165">
      <w:pPr>
        <w:pStyle w:val="BodyText"/>
        <w:spacing w:before="13"/>
        <w:rPr>
          <w:b/>
          <w:i/>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999"/>
        <w:gridCol w:w="2309"/>
        <w:gridCol w:w="3012"/>
      </w:tblGrid>
      <w:tr w:rsidR="00400165" w14:paraId="3EA91991" w14:textId="77777777">
        <w:trPr>
          <w:trHeight w:val="275"/>
        </w:trPr>
        <w:tc>
          <w:tcPr>
            <w:tcW w:w="2808" w:type="dxa"/>
            <w:tcBorders>
              <w:top w:val="nil"/>
              <w:left w:val="nil"/>
              <w:right w:val="nil"/>
            </w:tcBorders>
            <w:shd w:val="clear" w:color="auto" w:fill="5B9BD4"/>
          </w:tcPr>
          <w:p w14:paraId="3EA9198D" w14:textId="77777777" w:rsidR="00400165" w:rsidRDefault="008A3B94">
            <w:pPr>
              <w:pStyle w:val="TableParagraph"/>
              <w:spacing w:before="11"/>
              <w:ind w:left="112"/>
              <w:rPr>
                <w:b/>
              </w:rPr>
            </w:pPr>
            <w:r>
              <w:rPr>
                <w:b/>
                <w:color w:val="FFFFFF"/>
                <w:w w:val="115"/>
              </w:rPr>
              <w:t>Maternal</w:t>
            </w:r>
            <w:r>
              <w:rPr>
                <w:b/>
                <w:color w:val="FFFFFF"/>
                <w:spacing w:val="-3"/>
                <w:w w:val="115"/>
              </w:rPr>
              <w:t xml:space="preserve"> </w:t>
            </w:r>
            <w:r>
              <w:rPr>
                <w:b/>
                <w:color w:val="FFFFFF"/>
                <w:w w:val="115"/>
              </w:rPr>
              <w:t>Level</w:t>
            </w:r>
            <w:r>
              <w:rPr>
                <w:b/>
                <w:color w:val="FFFFFF"/>
                <w:spacing w:val="-3"/>
                <w:w w:val="115"/>
              </w:rPr>
              <w:t xml:space="preserve"> </w:t>
            </w:r>
            <w:r>
              <w:rPr>
                <w:b/>
                <w:color w:val="FFFFFF"/>
                <w:w w:val="115"/>
              </w:rPr>
              <w:t>of</w:t>
            </w:r>
            <w:r>
              <w:rPr>
                <w:b/>
                <w:color w:val="FFFFFF"/>
                <w:spacing w:val="-1"/>
                <w:w w:val="115"/>
              </w:rPr>
              <w:t xml:space="preserve"> </w:t>
            </w:r>
            <w:r>
              <w:rPr>
                <w:b/>
                <w:color w:val="FFFFFF"/>
                <w:spacing w:val="-4"/>
                <w:w w:val="115"/>
              </w:rPr>
              <w:t>Care</w:t>
            </w:r>
          </w:p>
        </w:tc>
        <w:tc>
          <w:tcPr>
            <w:tcW w:w="1999" w:type="dxa"/>
            <w:tcBorders>
              <w:top w:val="nil"/>
              <w:left w:val="nil"/>
              <w:right w:val="nil"/>
            </w:tcBorders>
            <w:shd w:val="clear" w:color="auto" w:fill="5B9BD4"/>
          </w:tcPr>
          <w:p w14:paraId="3EA9198E" w14:textId="77777777" w:rsidR="00400165" w:rsidRDefault="008A3B94">
            <w:pPr>
              <w:pStyle w:val="TableParagraph"/>
              <w:spacing w:before="11"/>
              <w:ind w:left="112"/>
              <w:rPr>
                <w:b/>
              </w:rPr>
            </w:pPr>
            <w:r>
              <w:rPr>
                <w:b/>
                <w:w w:val="115"/>
              </w:rPr>
              <w:t>Annual</w:t>
            </w:r>
            <w:r>
              <w:rPr>
                <w:b/>
                <w:w w:val="120"/>
              </w:rPr>
              <w:t xml:space="preserve"> </w:t>
            </w:r>
            <w:r>
              <w:rPr>
                <w:b/>
                <w:spacing w:val="-5"/>
                <w:w w:val="120"/>
              </w:rPr>
              <w:t>Fee</w:t>
            </w:r>
          </w:p>
        </w:tc>
        <w:tc>
          <w:tcPr>
            <w:tcW w:w="2309" w:type="dxa"/>
            <w:tcBorders>
              <w:top w:val="nil"/>
              <w:left w:val="nil"/>
              <w:right w:val="nil"/>
            </w:tcBorders>
            <w:shd w:val="clear" w:color="auto" w:fill="5B9BD4"/>
          </w:tcPr>
          <w:p w14:paraId="3EA9198F" w14:textId="77777777" w:rsidR="00400165" w:rsidRDefault="008A3B94">
            <w:pPr>
              <w:pStyle w:val="TableParagraph"/>
              <w:spacing w:before="11"/>
              <w:ind w:left="113"/>
              <w:rPr>
                <w:b/>
              </w:rPr>
            </w:pPr>
            <w:r>
              <w:rPr>
                <w:b/>
                <w:w w:val="115"/>
              </w:rPr>
              <w:t>Onsite</w:t>
            </w:r>
            <w:r>
              <w:rPr>
                <w:b/>
                <w:spacing w:val="14"/>
                <w:w w:val="115"/>
              </w:rPr>
              <w:t xml:space="preserve"> </w:t>
            </w:r>
            <w:r>
              <w:rPr>
                <w:b/>
                <w:w w:val="115"/>
              </w:rPr>
              <w:t>Review</w:t>
            </w:r>
            <w:r>
              <w:rPr>
                <w:b/>
                <w:spacing w:val="11"/>
                <w:w w:val="115"/>
              </w:rPr>
              <w:t xml:space="preserve"> </w:t>
            </w:r>
            <w:r>
              <w:rPr>
                <w:b/>
                <w:spacing w:val="-5"/>
                <w:w w:val="115"/>
              </w:rPr>
              <w:t>Fee</w:t>
            </w:r>
          </w:p>
        </w:tc>
        <w:tc>
          <w:tcPr>
            <w:tcW w:w="3012" w:type="dxa"/>
            <w:tcBorders>
              <w:top w:val="nil"/>
              <w:left w:val="nil"/>
              <w:right w:val="nil"/>
            </w:tcBorders>
            <w:shd w:val="clear" w:color="auto" w:fill="5B9BD4"/>
          </w:tcPr>
          <w:p w14:paraId="3EA91990" w14:textId="77777777" w:rsidR="00400165" w:rsidRDefault="008A3B94">
            <w:pPr>
              <w:pStyle w:val="TableParagraph"/>
              <w:spacing w:before="11"/>
              <w:ind w:left="112"/>
              <w:rPr>
                <w:b/>
              </w:rPr>
            </w:pPr>
            <w:r>
              <w:rPr>
                <w:b/>
                <w:w w:val="115"/>
              </w:rPr>
              <w:t>Total</w:t>
            </w:r>
            <w:r>
              <w:rPr>
                <w:b/>
                <w:spacing w:val="3"/>
                <w:w w:val="115"/>
              </w:rPr>
              <w:t xml:space="preserve"> </w:t>
            </w:r>
            <w:r>
              <w:rPr>
                <w:b/>
                <w:w w:val="115"/>
              </w:rPr>
              <w:t>3-year</w:t>
            </w:r>
            <w:r>
              <w:rPr>
                <w:b/>
                <w:spacing w:val="3"/>
                <w:w w:val="115"/>
              </w:rPr>
              <w:t xml:space="preserve"> </w:t>
            </w:r>
            <w:r>
              <w:rPr>
                <w:b/>
                <w:w w:val="115"/>
              </w:rPr>
              <w:t>Fee</w:t>
            </w:r>
            <w:r>
              <w:rPr>
                <w:b/>
                <w:spacing w:val="4"/>
                <w:w w:val="115"/>
              </w:rPr>
              <w:t xml:space="preserve"> </w:t>
            </w:r>
            <w:r>
              <w:rPr>
                <w:b/>
                <w:spacing w:val="-2"/>
                <w:w w:val="115"/>
              </w:rPr>
              <w:t>Covered</w:t>
            </w:r>
          </w:p>
        </w:tc>
      </w:tr>
      <w:tr w:rsidR="00400165" w14:paraId="3EA91996" w14:textId="77777777">
        <w:trPr>
          <w:trHeight w:val="268"/>
        </w:trPr>
        <w:tc>
          <w:tcPr>
            <w:tcW w:w="2808" w:type="dxa"/>
          </w:tcPr>
          <w:p w14:paraId="3EA91992" w14:textId="77777777" w:rsidR="00400165" w:rsidRDefault="008A3B94">
            <w:pPr>
              <w:pStyle w:val="TableParagraph"/>
              <w:spacing w:before="4"/>
              <w:rPr>
                <w:b/>
              </w:rPr>
            </w:pPr>
            <w:r>
              <w:rPr>
                <w:b/>
                <w:w w:val="120"/>
              </w:rPr>
              <w:t>Level</w:t>
            </w:r>
            <w:r>
              <w:rPr>
                <w:b/>
                <w:spacing w:val="-9"/>
                <w:w w:val="120"/>
              </w:rPr>
              <w:t xml:space="preserve"> </w:t>
            </w:r>
            <w:r>
              <w:rPr>
                <w:b/>
                <w:w w:val="120"/>
              </w:rPr>
              <w:t>1:</w:t>
            </w:r>
            <w:r>
              <w:rPr>
                <w:b/>
                <w:spacing w:val="-7"/>
                <w:w w:val="120"/>
              </w:rPr>
              <w:t xml:space="preserve"> </w:t>
            </w:r>
            <w:r>
              <w:rPr>
                <w:b/>
                <w:w w:val="120"/>
              </w:rPr>
              <w:t>Basic</w:t>
            </w:r>
            <w:r>
              <w:rPr>
                <w:b/>
                <w:spacing w:val="-9"/>
                <w:w w:val="120"/>
              </w:rPr>
              <w:t xml:space="preserve"> </w:t>
            </w:r>
            <w:r>
              <w:rPr>
                <w:b/>
                <w:spacing w:val="-4"/>
                <w:w w:val="120"/>
              </w:rPr>
              <w:t>Care</w:t>
            </w:r>
          </w:p>
        </w:tc>
        <w:tc>
          <w:tcPr>
            <w:tcW w:w="1999" w:type="dxa"/>
          </w:tcPr>
          <w:p w14:paraId="3EA91993" w14:textId="77777777" w:rsidR="00400165" w:rsidRDefault="008A3B94">
            <w:pPr>
              <w:pStyle w:val="TableParagraph"/>
              <w:spacing w:before="4"/>
            </w:pPr>
            <w:r>
              <w:rPr>
                <w:w w:val="110"/>
              </w:rPr>
              <w:t>$2,060</w:t>
            </w:r>
            <w:r>
              <w:rPr>
                <w:spacing w:val="6"/>
                <w:w w:val="110"/>
              </w:rPr>
              <w:t xml:space="preserve"> </w:t>
            </w:r>
            <w:r>
              <w:rPr>
                <w:w w:val="110"/>
              </w:rPr>
              <w:t>(x3</w:t>
            </w:r>
            <w:r>
              <w:rPr>
                <w:spacing w:val="7"/>
                <w:w w:val="110"/>
              </w:rPr>
              <w:t xml:space="preserve"> </w:t>
            </w:r>
            <w:r>
              <w:rPr>
                <w:spacing w:val="-2"/>
                <w:w w:val="110"/>
              </w:rPr>
              <w:t>years)</w:t>
            </w:r>
          </w:p>
        </w:tc>
        <w:tc>
          <w:tcPr>
            <w:tcW w:w="2309" w:type="dxa"/>
          </w:tcPr>
          <w:p w14:paraId="3EA91994" w14:textId="77777777" w:rsidR="00400165" w:rsidRDefault="008A3B94">
            <w:pPr>
              <w:pStyle w:val="TableParagraph"/>
              <w:spacing w:before="4"/>
              <w:ind w:left="108"/>
            </w:pPr>
            <w:r>
              <w:rPr>
                <w:w w:val="110"/>
              </w:rPr>
              <w:t>$2,415</w:t>
            </w:r>
            <w:r>
              <w:rPr>
                <w:spacing w:val="7"/>
                <w:w w:val="110"/>
              </w:rPr>
              <w:t xml:space="preserve"> </w:t>
            </w:r>
            <w:r>
              <w:rPr>
                <w:w w:val="110"/>
              </w:rPr>
              <w:t>(x1</w:t>
            </w:r>
            <w:r>
              <w:rPr>
                <w:spacing w:val="7"/>
                <w:w w:val="110"/>
              </w:rPr>
              <w:t xml:space="preserve"> </w:t>
            </w:r>
            <w:r>
              <w:rPr>
                <w:spacing w:val="-2"/>
                <w:w w:val="110"/>
              </w:rPr>
              <w:t>visit)</w:t>
            </w:r>
          </w:p>
        </w:tc>
        <w:tc>
          <w:tcPr>
            <w:tcW w:w="3012" w:type="dxa"/>
          </w:tcPr>
          <w:p w14:paraId="3EA91995" w14:textId="77777777" w:rsidR="00400165" w:rsidRDefault="008A3B94">
            <w:pPr>
              <w:pStyle w:val="TableParagraph"/>
              <w:spacing w:before="4"/>
            </w:pPr>
            <w:r>
              <w:rPr>
                <w:spacing w:val="-2"/>
                <w:w w:val="115"/>
              </w:rPr>
              <w:t>$8,595</w:t>
            </w:r>
          </w:p>
        </w:tc>
      </w:tr>
      <w:tr w:rsidR="00400165" w14:paraId="3EA9199B" w14:textId="77777777">
        <w:trPr>
          <w:trHeight w:val="266"/>
        </w:trPr>
        <w:tc>
          <w:tcPr>
            <w:tcW w:w="2808" w:type="dxa"/>
          </w:tcPr>
          <w:p w14:paraId="3EA91997" w14:textId="77777777" w:rsidR="00400165" w:rsidRDefault="008A3B94">
            <w:pPr>
              <w:pStyle w:val="TableParagraph"/>
              <w:rPr>
                <w:b/>
              </w:rPr>
            </w:pPr>
            <w:r>
              <w:rPr>
                <w:b/>
                <w:w w:val="120"/>
              </w:rPr>
              <w:t>Level</w:t>
            </w:r>
            <w:r>
              <w:rPr>
                <w:b/>
                <w:spacing w:val="-11"/>
                <w:w w:val="120"/>
              </w:rPr>
              <w:t xml:space="preserve"> </w:t>
            </w:r>
            <w:r>
              <w:rPr>
                <w:b/>
                <w:w w:val="120"/>
              </w:rPr>
              <w:t>2:</w:t>
            </w:r>
            <w:r>
              <w:rPr>
                <w:b/>
                <w:spacing w:val="-9"/>
                <w:w w:val="120"/>
              </w:rPr>
              <w:t xml:space="preserve"> </w:t>
            </w:r>
            <w:r>
              <w:rPr>
                <w:b/>
                <w:w w:val="120"/>
              </w:rPr>
              <w:t>Specialty</w:t>
            </w:r>
            <w:r>
              <w:rPr>
                <w:b/>
                <w:spacing w:val="-10"/>
                <w:w w:val="120"/>
              </w:rPr>
              <w:t xml:space="preserve"> </w:t>
            </w:r>
            <w:r>
              <w:rPr>
                <w:b/>
                <w:spacing w:val="-4"/>
                <w:w w:val="120"/>
              </w:rPr>
              <w:t>Care</w:t>
            </w:r>
          </w:p>
        </w:tc>
        <w:tc>
          <w:tcPr>
            <w:tcW w:w="1999" w:type="dxa"/>
          </w:tcPr>
          <w:p w14:paraId="3EA91998" w14:textId="77777777" w:rsidR="00400165" w:rsidRDefault="008A3B94">
            <w:pPr>
              <w:pStyle w:val="TableParagraph"/>
            </w:pPr>
            <w:r>
              <w:rPr>
                <w:w w:val="110"/>
              </w:rPr>
              <w:t>$3,090</w:t>
            </w:r>
            <w:r>
              <w:rPr>
                <w:spacing w:val="7"/>
                <w:w w:val="110"/>
              </w:rPr>
              <w:t xml:space="preserve"> </w:t>
            </w:r>
            <w:r>
              <w:rPr>
                <w:w w:val="110"/>
              </w:rPr>
              <w:t>(x3</w:t>
            </w:r>
            <w:r>
              <w:rPr>
                <w:spacing w:val="7"/>
                <w:w w:val="110"/>
              </w:rPr>
              <w:t xml:space="preserve"> </w:t>
            </w:r>
            <w:r>
              <w:rPr>
                <w:spacing w:val="-2"/>
                <w:w w:val="110"/>
              </w:rPr>
              <w:t>years)</w:t>
            </w:r>
          </w:p>
        </w:tc>
        <w:tc>
          <w:tcPr>
            <w:tcW w:w="2309" w:type="dxa"/>
          </w:tcPr>
          <w:p w14:paraId="3EA91999" w14:textId="77777777" w:rsidR="00400165" w:rsidRDefault="008A3B94">
            <w:pPr>
              <w:pStyle w:val="TableParagraph"/>
              <w:ind w:left="108"/>
            </w:pPr>
            <w:r>
              <w:rPr>
                <w:w w:val="110"/>
              </w:rPr>
              <w:t>$2,415</w:t>
            </w:r>
            <w:r>
              <w:rPr>
                <w:spacing w:val="6"/>
                <w:w w:val="110"/>
              </w:rPr>
              <w:t xml:space="preserve"> </w:t>
            </w:r>
            <w:r>
              <w:rPr>
                <w:w w:val="110"/>
              </w:rPr>
              <w:t>(x1</w:t>
            </w:r>
            <w:r>
              <w:rPr>
                <w:spacing w:val="7"/>
                <w:w w:val="110"/>
              </w:rPr>
              <w:t xml:space="preserve"> </w:t>
            </w:r>
            <w:r>
              <w:rPr>
                <w:spacing w:val="-2"/>
                <w:w w:val="110"/>
              </w:rPr>
              <w:t>visit)</w:t>
            </w:r>
          </w:p>
        </w:tc>
        <w:tc>
          <w:tcPr>
            <w:tcW w:w="3012" w:type="dxa"/>
          </w:tcPr>
          <w:p w14:paraId="3EA9199A" w14:textId="77777777" w:rsidR="00400165" w:rsidRDefault="008A3B94">
            <w:pPr>
              <w:pStyle w:val="TableParagraph"/>
            </w:pPr>
            <w:r>
              <w:rPr>
                <w:spacing w:val="-2"/>
                <w:w w:val="115"/>
              </w:rPr>
              <w:t>$11,685</w:t>
            </w:r>
          </w:p>
        </w:tc>
      </w:tr>
      <w:tr w:rsidR="00400165" w14:paraId="3EA919A1" w14:textId="77777777">
        <w:trPr>
          <w:trHeight w:val="534"/>
        </w:trPr>
        <w:tc>
          <w:tcPr>
            <w:tcW w:w="2808" w:type="dxa"/>
          </w:tcPr>
          <w:p w14:paraId="3EA9199C" w14:textId="77777777" w:rsidR="00400165" w:rsidRDefault="008A3B94">
            <w:pPr>
              <w:pStyle w:val="TableParagraph"/>
              <w:spacing w:line="267" w:lineRule="exact"/>
              <w:rPr>
                <w:b/>
              </w:rPr>
            </w:pPr>
            <w:r>
              <w:rPr>
                <w:b/>
                <w:w w:val="120"/>
              </w:rPr>
              <w:t>Level</w:t>
            </w:r>
            <w:r>
              <w:rPr>
                <w:b/>
                <w:spacing w:val="-4"/>
                <w:w w:val="120"/>
              </w:rPr>
              <w:t xml:space="preserve"> </w:t>
            </w:r>
            <w:r>
              <w:rPr>
                <w:b/>
                <w:w w:val="120"/>
              </w:rPr>
              <w:t>3:</w:t>
            </w:r>
            <w:r>
              <w:rPr>
                <w:b/>
                <w:spacing w:val="-2"/>
                <w:w w:val="120"/>
              </w:rPr>
              <w:t xml:space="preserve"> Subspecialty</w:t>
            </w:r>
          </w:p>
          <w:p w14:paraId="3EA9199D" w14:textId="77777777" w:rsidR="00400165" w:rsidRDefault="008A3B94">
            <w:pPr>
              <w:pStyle w:val="TableParagraph"/>
              <w:spacing w:before="0" w:line="246" w:lineRule="exact"/>
              <w:rPr>
                <w:b/>
              </w:rPr>
            </w:pPr>
            <w:r>
              <w:rPr>
                <w:b/>
                <w:spacing w:val="-4"/>
                <w:w w:val="120"/>
              </w:rPr>
              <w:t>Care</w:t>
            </w:r>
          </w:p>
        </w:tc>
        <w:tc>
          <w:tcPr>
            <w:tcW w:w="1999" w:type="dxa"/>
          </w:tcPr>
          <w:p w14:paraId="3EA9199E" w14:textId="77777777" w:rsidR="00400165" w:rsidRDefault="008A3B94">
            <w:pPr>
              <w:pStyle w:val="TableParagraph"/>
              <w:spacing w:line="240" w:lineRule="auto"/>
            </w:pPr>
            <w:r>
              <w:rPr>
                <w:w w:val="110"/>
              </w:rPr>
              <w:t>$5,150</w:t>
            </w:r>
            <w:r>
              <w:rPr>
                <w:spacing w:val="7"/>
                <w:w w:val="110"/>
              </w:rPr>
              <w:t xml:space="preserve"> </w:t>
            </w:r>
            <w:r>
              <w:rPr>
                <w:w w:val="110"/>
              </w:rPr>
              <w:t>(x3</w:t>
            </w:r>
            <w:r>
              <w:rPr>
                <w:spacing w:val="7"/>
                <w:w w:val="110"/>
              </w:rPr>
              <w:t xml:space="preserve"> </w:t>
            </w:r>
            <w:r>
              <w:rPr>
                <w:spacing w:val="-2"/>
                <w:w w:val="110"/>
              </w:rPr>
              <w:t>years)</w:t>
            </w:r>
          </w:p>
        </w:tc>
        <w:tc>
          <w:tcPr>
            <w:tcW w:w="2309" w:type="dxa"/>
          </w:tcPr>
          <w:p w14:paraId="3EA9199F" w14:textId="77777777" w:rsidR="00400165" w:rsidRDefault="008A3B94">
            <w:pPr>
              <w:pStyle w:val="TableParagraph"/>
              <w:spacing w:line="240" w:lineRule="auto"/>
              <w:ind w:left="108"/>
            </w:pPr>
            <w:r>
              <w:rPr>
                <w:w w:val="110"/>
              </w:rPr>
              <w:t>$3,445</w:t>
            </w:r>
            <w:r>
              <w:rPr>
                <w:spacing w:val="6"/>
                <w:w w:val="110"/>
              </w:rPr>
              <w:t xml:space="preserve"> </w:t>
            </w:r>
            <w:r>
              <w:rPr>
                <w:w w:val="110"/>
              </w:rPr>
              <w:t>(x1</w:t>
            </w:r>
            <w:r>
              <w:rPr>
                <w:spacing w:val="7"/>
                <w:w w:val="110"/>
              </w:rPr>
              <w:t xml:space="preserve"> </w:t>
            </w:r>
            <w:r>
              <w:rPr>
                <w:spacing w:val="-2"/>
                <w:w w:val="110"/>
              </w:rPr>
              <w:t>visit)</w:t>
            </w:r>
          </w:p>
        </w:tc>
        <w:tc>
          <w:tcPr>
            <w:tcW w:w="3012" w:type="dxa"/>
          </w:tcPr>
          <w:p w14:paraId="3EA919A0" w14:textId="77777777" w:rsidR="00400165" w:rsidRDefault="008A3B94">
            <w:pPr>
              <w:pStyle w:val="TableParagraph"/>
              <w:spacing w:line="240" w:lineRule="auto"/>
            </w:pPr>
            <w:r>
              <w:rPr>
                <w:spacing w:val="-2"/>
                <w:w w:val="115"/>
              </w:rPr>
              <w:t>$18,895</w:t>
            </w:r>
          </w:p>
        </w:tc>
      </w:tr>
      <w:tr w:rsidR="00400165" w14:paraId="3EA919A7" w14:textId="77777777">
        <w:trPr>
          <w:trHeight w:val="801"/>
        </w:trPr>
        <w:tc>
          <w:tcPr>
            <w:tcW w:w="2808" w:type="dxa"/>
          </w:tcPr>
          <w:p w14:paraId="3EA919A2" w14:textId="77777777" w:rsidR="00400165" w:rsidRDefault="008A3B94">
            <w:pPr>
              <w:pStyle w:val="TableParagraph"/>
              <w:spacing w:before="3" w:line="237" w:lineRule="auto"/>
              <w:rPr>
                <w:b/>
              </w:rPr>
            </w:pPr>
            <w:r>
              <w:rPr>
                <w:b/>
                <w:w w:val="120"/>
              </w:rPr>
              <w:t xml:space="preserve">Level 4: Regional </w:t>
            </w:r>
            <w:r>
              <w:rPr>
                <w:b/>
                <w:w w:val="115"/>
              </w:rPr>
              <w:t>Perinatal</w:t>
            </w:r>
            <w:r>
              <w:rPr>
                <w:b/>
                <w:spacing w:val="-4"/>
                <w:w w:val="115"/>
              </w:rPr>
              <w:t xml:space="preserve"> </w:t>
            </w:r>
            <w:r>
              <w:rPr>
                <w:b/>
                <w:w w:val="115"/>
              </w:rPr>
              <w:t>Health</w:t>
            </w:r>
            <w:r>
              <w:rPr>
                <w:b/>
                <w:spacing w:val="-2"/>
                <w:w w:val="115"/>
              </w:rPr>
              <w:t xml:space="preserve"> </w:t>
            </w:r>
            <w:r>
              <w:rPr>
                <w:b/>
                <w:w w:val="115"/>
              </w:rPr>
              <w:t>Care</w:t>
            </w:r>
          </w:p>
          <w:p w14:paraId="3EA919A3" w14:textId="77777777" w:rsidR="00400165" w:rsidRDefault="008A3B94">
            <w:pPr>
              <w:pStyle w:val="TableParagraph"/>
              <w:spacing w:before="0" w:line="246" w:lineRule="exact"/>
              <w:rPr>
                <w:b/>
              </w:rPr>
            </w:pPr>
            <w:r>
              <w:rPr>
                <w:b/>
                <w:spacing w:val="-2"/>
                <w:w w:val="115"/>
              </w:rPr>
              <w:t>Centers</w:t>
            </w:r>
          </w:p>
        </w:tc>
        <w:tc>
          <w:tcPr>
            <w:tcW w:w="1999" w:type="dxa"/>
          </w:tcPr>
          <w:p w14:paraId="3EA919A4" w14:textId="77777777" w:rsidR="00400165" w:rsidRDefault="008A3B94">
            <w:pPr>
              <w:pStyle w:val="TableParagraph"/>
              <w:spacing w:line="240" w:lineRule="auto"/>
            </w:pPr>
            <w:r>
              <w:rPr>
                <w:w w:val="110"/>
              </w:rPr>
              <w:t>$6,180</w:t>
            </w:r>
            <w:r>
              <w:rPr>
                <w:spacing w:val="7"/>
                <w:w w:val="110"/>
              </w:rPr>
              <w:t xml:space="preserve"> </w:t>
            </w:r>
            <w:r>
              <w:rPr>
                <w:w w:val="110"/>
              </w:rPr>
              <w:t>(x3</w:t>
            </w:r>
            <w:r>
              <w:rPr>
                <w:spacing w:val="7"/>
                <w:w w:val="110"/>
              </w:rPr>
              <w:t xml:space="preserve"> </w:t>
            </w:r>
            <w:r>
              <w:rPr>
                <w:spacing w:val="-2"/>
                <w:w w:val="110"/>
              </w:rPr>
              <w:t>years)</w:t>
            </w:r>
          </w:p>
        </w:tc>
        <w:tc>
          <w:tcPr>
            <w:tcW w:w="2309" w:type="dxa"/>
          </w:tcPr>
          <w:p w14:paraId="3EA919A5" w14:textId="77777777" w:rsidR="00400165" w:rsidRDefault="008A3B94">
            <w:pPr>
              <w:pStyle w:val="TableParagraph"/>
              <w:spacing w:line="240" w:lineRule="auto"/>
              <w:ind w:left="108"/>
            </w:pPr>
            <w:r>
              <w:rPr>
                <w:w w:val="110"/>
              </w:rPr>
              <w:t>$3,445</w:t>
            </w:r>
            <w:r>
              <w:rPr>
                <w:spacing w:val="6"/>
                <w:w w:val="110"/>
              </w:rPr>
              <w:t xml:space="preserve"> </w:t>
            </w:r>
            <w:r>
              <w:rPr>
                <w:w w:val="110"/>
              </w:rPr>
              <w:t>(x1</w:t>
            </w:r>
            <w:r>
              <w:rPr>
                <w:spacing w:val="7"/>
                <w:w w:val="110"/>
              </w:rPr>
              <w:t xml:space="preserve"> </w:t>
            </w:r>
            <w:r>
              <w:rPr>
                <w:spacing w:val="-2"/>
                <w:w w:val="110"/>
              </w:rPr>
              <w:t>visit)</w:t>
            </w:r>
          </w:p>
        </w:tc>
        <w:tc>
          <w:tcPr>
            <w:tcW w:w="3012" w:type="dxa"/>
          </w:tcPr>
          <w:p w14:paraId="3EA919A6" w14:textId="77777777" w:rsidR="00400165" w:rsidRDefault="008A3B94">
            <w:pPr>
              <w:pStyle w:val="TableParagraph"/>
              <w:spacing w:line="240" w:lineRule="auto"/>
            </w:pPr>
            <w:r>
              <w:rPr>
                <w:spacing w:val="-2"/>
                <w:w w:val="115"/>
              </w:rPr>
              <w:t>$21,985</w:t>
            </w:r>
          </w:p>
        </w:tc>
      </w:tr>
    </w:tbl>
    <w:p w14:paraId="3EA919A8" w14:textId="77777777" w:rsidR="008A3B94" w:rsidRDefault="008A3B94"/>
    <w:sectPr w:rsidR="008A3B94">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65"/>
    <w:rsid w:val="003E34F1"/>
    <w:rsid w:val="00400165"/>
    <w:rsid w:val="008A3B94"/>
    <w:rsid w:val="00AC0E20"/>
    <w:rsid w:val="00BE434E"/>
    <w:rsid w:val="00E3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196E"/>
  <w15:docId w15:val="{91193571-EBC0-4176-A543-B41BD15F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90" w:lineRule="exact"/>
      <w:ind w:right="4"/>
      <w:jc w:val="center"/>
      <w:outlineLvl w:val="0"/>
    </w:pPr>
    <w:rPr>
      <w:b/>
      <w:bCs/>
      <w:sz w:val="32"/>
      <w:szCs w:val="32"/>
    </w:rPr>
  </w:style>
  <w:style w:type="paragraph" w:styleId="Heading2">
    <w:name w:val="heading 2"/>
    <w:basedOn w:val="Normal"/>
    <w:uiPriority w:val="9"/>
    <w:unhideWhenUsed/>
    <w:qFormat/>
    <w:pPr>
      <w:spacing w:line="316" w:lineRule="exact"/>
      <w:ind w:left="720"/>
      <w:outlineLvl w:val="1"/>
    </w:pPr>
    <w:rPr>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44"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a.org/issues-advocacy/key-issues/maternal-levels-of-care/" TargetMode="External"/><Relationship Id="rId5" Type="http://schemas.openxmlformats.org/officeDocument/2006/relationships/hyperlink" Target="https://www.mha.org/issues-advocacy/key-issues/maternal-levels-of-car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2409</Characters>
  <Application>Microsoft Office Word</Application>
  <DocSecurity>0</DocSecurity>
  <Lines>73</Lines>
  <Paragraphs>38</Paragraphs>
  <ScaleCrop>false</ScaleCrop>
  <Company>MHA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Syrek</dc:creator>
  <dc:description/>
  <cp:lastModifiedBy>Naomi Rosner</cp:lastModifiedBy>
  <cp:revision>3</cp:revision>
  <dcterms:created xsi:type="dcterms:W3CDTF">2026-01-15T13:18:00Z</dcterms:created>
  <dcterms:modified xsi:type="dcterms:W3CDTF">2026-01-15T13:18:00Z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Acrobat PDFMaker 24 for Word</vt:lpwstr>
  </property>
  <property fmtid="{D5CDD505-2E9C-101B-9397-08002B2CF9AE}" pid="4" name="LastSaved">
    <vt:filetime>2026-01-15T00:00:00Z</vt:filetime>
  </property>
  <property fmtid="{D5CDD505-2E9C-101B-9397-08002B2CF9AE}" pid="5" name="MSIP_Label_3a2fed65-62e7-46ea-af74-187e0c17143a_ActionId">
    <vt:lpwstr>d1f5efd8-c9c0-4ba6-8fbf-bc6048b5a7de</vt:lpwstr>
  </property>
  <property fmtid="{D5CDD505-2E9C-101B-9397-08002B2CF9AE}" pid="6" name="MSIP_Label_3a2fed65-62e7-46ea-af74-187e0c17143a_ContentBits">
    <vt:lpwstr>0</vt:lpwstr>
  </property>
  <property fmtid="{D5CDD505-2E9C-101B-9397-08002B2CF9AE}" pid="7" name="MSIP_Label_3a2fed65-62e7-46ea-af74-187e0c17143a_Enabled">
    <vt:lpwstr>true</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etDate">
    <vt:lpwstr>2024-06-27T18:15:27Z</vt:lpwstr>
  </property>
  <property fmtid="{D5CDD505-2E9C-101B-9397-08002B2CF9AE}" pid="11" name="MSIP_Label_3a2fed65-62e7-46ea-af74-187e0c17143a_SiteId">
    <vt:lpwstr>d5fb7087-3777-42ad-966a-892ef47225d1</vt:lpwstr>
  </property>
  <property fmtid="{D5CDD505-2E9C-101B-9397-08002B2CF9AE}" pid="12" name="Producer">
    <vt:lpwstr>Adobe PDF Library 24.5.175</vt:lpwstr>
  </property>
  <property fmtid="{D5CDD505-2E9C-101B-9397-08002B2CF9AE}" pid="13" name="SourceModified">
    <vt:lpwstr>D:20250214194528</vt:lpwstr>
  </property>
</Properties>
</file>