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F2807" w14:textId="675A8298" w:rsidR="00567EFE" w:rsidRPr="00B9789F" w:rsidRDefault="00E853CD" w:rsidP="007B28BA">
      <w:pPr>
        <w:rPr>
          <w:rFonts w:ascii="Arial" w:hAnsi="Arial" w:cs="Arial"/>
          <w:color w:val="FF0000"/>
          <w:sz w:val="20"/>
          <w:szCs w:val="20"/>
        </w:rPr>
      </w:pPr>
      <w:r>
        <w:rPr>
          <w:rFonts w:ascii="Arial" w:hAnsi="Arial" w:cs="Arial"/>
          <w:sz w:val="20"/>
          <w:szCs w:val="20"/>
        </w:rPr>
        <w:t xml:space="preserve">Sept. </w:t>
      </w:r>
      <w:r w:rsidR="00AB633A">
        <w:rPr>
          <w:rFonts w:ascii="Arial" w:hAnsi="Arial" w:cs="Arial"/>
          <w:sz w:val="20"/>
          <w:szCs w:val="20"/>
        </w:rPr>
        <w:t>6</w:t>
      </w:r>
      <w:r w:rsidR="007B28BA" w:rsidRPr="00CA53E5">
        <w:rPr>
          <w:rFonts w:ascii="Arial" w:hAnsi="Arial" w:cs="Arial"/>
          <w:sz w:val="20"/>
          <w:szCs w:val="20"/>
        </w:rPr>
        <w:t xml:space="preserve">, </w:t>
      </w:r>
      <w:proofErr w:type="gramStart"/>
      <w:r w:rsidR="007B28BA" w:rsidRPr="00CA53E5">
        <w:rPr>
          <w:rFonts w:ascii="Arial" w:hAnsi="Arial" w:cs="Arial"/>
          <w:sz w:val="20"/>
          <w:szCs w:val="20"/>
        </w:rPr>
        <w:t>20</w:t>
      </w:r>
      <w:r w:rsidR="00C26ACD" w:rsidRPr="00CA53E5">
        <w:rPr>
          <w:rFonts w:ascii="Arial" w:hAnsi="Arial" w:cs="Arial"/>
          <w:sz w:val="20"/>
          <w:szCs w:val="20"/>
        </w:rPr>
        <w:t>2</w:t>
      </w:r>
      <w:r w:rsidR="001E4642">
        <w:rPr>
          <w:rFonts w:ascii="Arial" w:hAnsi="Arial" w:cs="Arial"/>
          <w:sz w:val="20"/>
          <w:szCs w:val="20"/>
        </w:rPr>
        <w:t>2</w:t>
      </w:r>
      <w:proofErr w:type="gramEnd"/>
      <w:r w:rsidR="00B9789F">
        <w:rPr>
          <w:rFonts w:ascii="Arial" w:hAnsi="Arial" w:cs="Arial"/>
          <w:sz w:val="20"/>
          <w:szCs w:val="20"/>
        </w:rPr>
        <w:tab/>
      </w:r>
      <w:r w:rsidR="00632ECE">
        <w:rPr>
          <w:rFonts w:ascii="Arial" w:hAnsi="Arial" w:cs="Arial"/>
          <w:sz w:val="20"/>
          <w:szCs w:val="20"/>
        </w:rPr>
        <w:tab/>
      </w:r>
      <w:r w:rsidR="00632ECE">
        <w:rPr>
          <w:rFonts w:ascii="Arial" w:hAnsi="Arial" w:cs="Arial"/>
          <w:sz w:val="20"/>
          <w:szCs w:val="20"/>
        </w:rPr>
        <w:tab/>
      </w:r>
      <w:r w:rsidR="00632ECE">
        <w:rPr>
          <w:rFonts w:ascii="Arial" w:hAnsi="Arial" w:cs="Arial"/>
          <w:sz w:val="20"/>
          <w:szCs w:val="20"/>
        </w:rPr>
        <w:tab/>
      </w:r>
      <w:r w:rsidR="00632ECE">
        <w:rPr>
          <w:rFonts w:ascii="Arial" w:hAnsi="Arial" w:cs="Arial"/>
          <w:sz w:val="20"/>
          <w:szCs w:val="20"/>
        </w:rPr>
        <w:tab/>
      </w:r>
      <w:r w:rsidR="00632ECE">
        <w:rPr>
          <w:rFonts w:ascii="Arial" w:hAnsi="Arial" w:cs="Arial"/>
          <w:sz w:val="20"/>
          <w:szCs w:val="20"/>
        </w:rPr>
        <w:tab/>
      </w:r>
      <w:r w:rsidR="00632ECE" w:rsidRPr="00632ECE">
        <w:rPr>
          <w:rFonts w:ascii="Arial" w:hAnsi="Arial" w:cs="Arial"/>
          <w:b/>
          <w:bCs/>
          <w:sz w:val="28"/>
          <w:szCs w:val="28"/>
        </w:rPr>
        <w:t>D R A F T</w:t>
      </w:r>
      <w:r w:rsidR="00632ECE" w:rsidRPr="00632ECE">
        <w:rPr>
          <w:rFonts w:ascii="Arial" w:hAnsi="Arial" w:cs="Arial"/>
          <w:b/>
          <w:bCs/>
          <w:sz w:val="20"/>
          <w:szCs w:val="20"/>
        </w:rPr>
        <w:t xml:space="preserve"> </w:t>
      </w:r>
      <w:r w:rsidR="00B9789F" w:rsidRPr="00632ECE">
        <w:rPr>
          <w:rFonts w:ascii="Arial" w:hAnsi="Arial" w:cs="Arial"/>
          <w:b/>
          <w:bCs/>
          <w:sz w:val="20"/>
          <w:szCs w:val="20"/>
        </w:rPr>
        <w:tab/>
      </w:r>
      <w:r w:rsidR="00B9789F">
        <w:rPr>
          <w:rFonts w:ascii="Arial" w:hAnsi="Arial" w:cs="Arial"/>
          <w:sz w:val="20"/>
          <w:szCs w:val="20"/>
        </w:rPr>
        <w:tab/>
      </w:r>
      <w:r w:rsidR="00B9789F">
        <w:rPr>
          <w:rFonts w:ascii="Arial" w:hAnsi="Arial" w:cs="Arial"/>
          <w:sz w:val="20"/>
          <w:szCs w:val="20"/>
        </w:rPr>
        <w:tab/>
      </w:r>
      <w:r w:rsidR="00A153D3" w:rsidRPr="00B9789F">
        <w:rPr>
          <w:rFonts w:ascii="Arial" w:hAnsi="Arial" w:cs="Arial"/>
          <w:color w:val="FF0000"/>
          <w:sz w:val="20"/>
          <w:szCs w:val="20"/>
        </w:rPr>
        <w:t xml:space="preserve">  </w:t>
      </w:r>
      <w:r w:rsidR="00AA50E6" w:rsidRPr="00B9789F">
        <w:rPr>
          <w:rFonts w:ascii="Arial" w:hAnsi="Arial" w:cs="Arial"/>
          <w:color w:val="FF0000"/>
          <w:sz w:val="20"/>
          <w:szCs w:val="20"/>
        </w:rPr>
        <w:tab/>
      </w:r>
      <w:r w:rsidR="00AA50E6" w:rsidRPr="00B9789F">
        <w:rPr>
          <w:rFonts w:ascii="Arial" w:hAnsi="Arial" w:cs="Arial"/>
          <w:color w:val="FF0000"/>
          <w:sz w:val="20"/>
          <w:szCs w:val="20"/>
        </w:rPr>
        <w:tab/>
      </w:r>
      <w:r w:rsidR="00AA50E6" w:rsidRPr="00B9789F">
        <w:rPr>
          <w:rFonts w:ascii="Arial" w:hAnsi="Arial" w:cs="Arial"/>
          <w:color w:val="FF0000"/>
          <w:sz w:val="20"/>
          <w:szCs w:val="20"/>
        </w:rPr>
        <w:tab/>
      </w:r>
      <w:r w:rsidR="00AA50E6" w:rsidRPr="00B9789F">
        <w:rPr>
          <w:rFonts w:ascii="Arial" w:hAnsi="Arial" w:cs="Arial"/>
          <w:color w:val="FF0000"/>
          <w:sz w:val="20"/>
          <w:szCs w:val="20"/>
        </w:rPr>
        <w:tab/>
      </w:r>
      <w:r w:rsidR="00AA50E6" w:rsidRPr="00B9789F">
        <w:rPr>
          <w:rFonts w:ascii="Arial" w:hAnsi="Arial" w:cs="Arial"/>
          <w:color w:val="FF0000"/>
          <w:sz w:val="20"/>
          <w:szCs w:val="20"/>
        </w:rPr>
        <w:tab/>
      </w:r>
    </w:p>
    <w:p w14:paraId="1CB7F19A" w14:textId="6482421C" w:rsidR="007B28BA" w:rsidRPr="00B9789F" w:rsidRDefault="007B28BA" w:rsidP="007B28BA">
      <w:pPr>
        <w:rPr>
          <w:rFonts w:ascii="Arial" w:hAnsi="Arial" w:cs="Arial"/>
          <w:color w:val="FF0000"/>
          <w:sz w:val="32"/>
          <w:szCs w:val="32"/>
        </w:rPr>
      </w:pPr>
      <w:r w:rsidRPr="00B9789F">
        <w:rPr>
          <w:rFonts w:ascii="Arial" w:hAnsi="Arial" w:cs="Arial"/>
          <w:color w:val="FF0000"/>
          <w:sz w:val="20"/>
          <w:szCs w:val="20"/>
        </w:rPr>
        <w:tab/>
      </w:r>
      <w:r w:rsidRPr="00B9789F">
        <w:rPr>
          <w:rFonts w:ascii="Arial" w:hAnsi="Arial" w:cs="Arial"/>
          <w:color w:val="FF0000"/>
          <w:sz w:val="20"/>
          <w:szCs w:val="20"/>
        </w:rPr>
        <w:tab/>
      </w:r>
      <w:r w:rsidRPr="00B9789F">
        <w:rPr>
          <w:rFonts w:ascii="Arial" w:hAnsi="Arial" w:cs="Arial"/>
          <w:color w:val="FF0000"/>
          <w:sz w:val="20"/>
          <w:szCs w:val="20"/>
        </w:rPr>
        <w:tab/>
      </w:r>
      <w:r w:rsidRPr="00B9789F">
        <w:rPr>
          <w:rFonts w:ascii="Arial" w:hAnsi="Arial" w:cs="Arial"/>
          <w:color w:val="FF0000"/>
          <w:sz w:val="20"/>
          <w:szCs w:val="20"/>
        </w:rPr>
        <w:tab/>
      </w:r>
      <w:r w:rsidRPr="00B9789F">
        <w:rPr>
          <w:rFonts w:ascii="Arial" w:hAnsi="Arial" w:cs="Arial"/>
          <w:color w:val="FF0000"/>
          <w:sz w:val="20"/>
          <w:szCs w:val="20"/>
        </w:rPr>
        <w:tab/>
      </w:r>
    </w:p>
    <w:p w14:paraId="11108CF5" w14:textId="77777777" w:rsidR="001B736B" w:rsidRDefault="00665022" w:rsidP="00567EFE">
      <w:pPr>
        <w:rPr>
          <w:rFonts w:ascii="Arial" w:eastAsia="MS Mincho" w:hAnsi="Arial" w:cs="Arial"/>
          <w:sz w:val="20"/>
          <w:szCs w:val="20"/>
          <w:lang w:eastAsia="ja-JP"/>
        </w:rPr>
      </w:pPr>
      <w:r w:rsidRPr="00665022">
        <w:rPr>
          <w:rFonts w:ascii="Arial" w:eastAsia="MS Mincho" w:hAnsi="Arial" w:cs="Arial"/>
          <w:sz w:val="20"/>
          <w:szCs w:val="20"/>
          <w:lang w:eastAsia="ja-JP"/>
        </w:rPr>
        <w:t>The Honorable Chiquita Brooks-LaSure</w:t>
      </w:r>
      <w:r w:rsidR="00567EFE" w:rsidRPr="00793BBF">
        <w:rPr>
          <w:rFonts w:ascii="Arial" w:eastAsia="MS Mincho" w:hAnsi="Arial" w:cs="Arial"/>
          <w:sz w:val="20"/>
          <w:szCs w:val="20"/>
          <w:lang w:eastAsia="ja-JP"/>
        </w:rPr>
        <w:tab/>
      </w:r>
    </w:p>
    <w:p w14:paraId="742929CB" w14:textId="3E3C0CC9" w:rsidR="00567EFE" w:rsidRPr="00793BBF" w:rsidRDefault="001B736B" w:rsidP="00567EFE">
      <w:pPr>
        <w:rPr>
          <w:rFonts w:ascii="Arial" w:eastAsia="MS Mincho" w:hAnsi="Arial" w:cs="Arial"/>
          <w:sz w:val="20"/>
          <w:szCs w:val="20"/>
          <w:lang w:eastAsia="ja-JP"/>
        </w:rPr>
      </w:pPr>
      <w:r>
        <w:rPr>
          <w:rFonts w:ascii="Arial" w:eastAsia="MS Mincho" w:hAnsi="Arial" w:cs="Arial"/>
          <w:sz w:val="20"/>
          <w:szCs w:val="20"/>
          <w:lang w:eastAsia="ja-JP"/>
        </w:rPr>
        <w:t>Administrator</w:t>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r>
      <w:r w:rsidR="00567EFE" w:rsidRPr="00793BBF">
        <w:rPr>
          <w:rFonts w:ascii="Arial" w:eastAsia="MS Mincho" w:hAnsi="Arial" w:cs="Arial"/>
          <w:sz w:val="20"/>
          <w:szCs w:val="20"/>
          <w:lang w:eastAsia="ja-JP"/>
        </w:rPr>
        <w:tab/>
        <w:t xml:space="preserve"> </w:t>
      </w:r>
    </w:p>
    <w:p w14:paraId="17057358" w14:textId="77777777" w:rsidR="00567EFE" w:rsidRPr="00793BBF" w:rsidRDefault="00567EFE" w:rsidP="00567EFE">
      <w:pPr>
        <w:autoSpaceDE w:val="0"/>
        <w:autoSpaceDN w:val="0"/>
        <w:adjustRightInd w:val="0"/>
        <w:rPr>
          <w:rFonts w:ascii="Arial" w:eastAsia="Times New Roman" w:hAnsi="Arial" w:cs="Arial"/>
          <w:color w:val="000000"/>
          <w:sz w:val="20"/>
          <w:szCs w:val="20"/>
        </w:rPr>
      </w:pPr>
      <w:r w:rsidRPr="00793BBF">
        <w:rPr>
          <w:rFonts w:ascii="Arial" w:eastAsia="Times New Roman" w:hAnsi="Arial" w:cs="Arial"/>
          <w:color w:val="000000"/>
          <w:sz w:val="20"/>
          <w:szCs w:val="20"/>
        </w:rPr>
        <w:t xml:space="preserve">Centers for Medicare &amp; Medicaid Services </w:t>
      </w:r>
    </w:p>
    <w:p w14:paraId="4726A3C7" w14:textId="77777777" w:rsidR="00567EFE" w:rsidRPr="00793BBF" w:rsidRDefault="00567EFE" w:rsidP="00567EFE">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Hubert H. Humphrey Building</w:t>
      </w:r>
    </w:p>
    <w:p w14:paraId="4D99BA1D" w14:textId="1095DEA1" w:rsidR="00567EFE" w:rsidRPr="00793BBF" w:rsidRDefault="00567EFE" w:rsidP="00567EFE">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200 Independence Avenue, S.W.</w:t>
      </w:r>
      <w:r w:rsidR="00665022">
        <w:rPr>
          <w:rFonts w:ascii="Arial" w:eastAsia="MS Mincho" w:hAnsi="Arial" w:cs="Arial"/>
          <w:sz w:val="20"/>
          <w:szCs w:val="20"/>
          <w:lang w:eastAsia="ja-JP"/>
        </w:rPr>
        <w:t xml:space="preserve">, </w:t>
      </w:r>
      <w:r w:rsidRPr="00793BBF">
        <w:rPr>
          <w:rFonts w:ascii="Arial" w:eastAsia="MS Mincho" w:hAnsi="Arial" w:cs="Arial"/>
          <w:sz w:val="20"/>
          <w:szCs w:val="20"/>
          <w:lang w:eastAsia="ja-JP"/>
        </w:rPr>
        <w:t>Room 445-G</w:t>
      </w:r>
    </w:p>
    <w:p w14:paraId="0BEFB13E" w14:textId="77E07777" w:rsidR="007B28BA" w:rsidRPr="00003682" w:rsidRDefault="00567EFE" w:rsidP="007B28BA">
      <w:pPr>
        <w:autoSpaceDE w:val="0"/>
        <w:autoSpaceDN w:val="0"/>
        <w:adjustRightInd w:val="0"/>
        <w:rPr>
          <w:rFonts w:ascii="Arial" w:eastAsia="MS Mincho" w:hAnsi="Arial" w:cs="Arial"/>
          <w:sz w:val="20"/>
          <w:szCs w:val="20"/>
          <w:lang w:eastAsia="ja-JP"/>
        </w:rPr>
      </w:pPr>
      <w:r w:rsidRPr="00793BBF">
        <w:rPr>
          <w:rFonts w:ascii="Arial" w:eastAsia="MS Mincho" w:hAnsi="Arial" w:cs="Arial"/>
          <w:sz w:val="20"/>
          <w:szCs w:val="20"/>
          <w:lang w:eastAsia="ja-JP"/>
        </w:rPr>
        <w:t>Washington, DC 20201</w:t>
      </w:r>
    </w:p>
    <w:p w14:paraId="0239E845" w14:textId="77777777" w:rsidR="00003682" w:rsidRPr="007B28BA" w:rsidRDefault="00003682" w:rsidP="007B28BA">
      <w:pPr>
        <w:autoSpaceDE w:val="0"/>
        <w:autoSpaceDN w:val="0"/>
        <w:adjustRightInd w:val="0"/>
        <w:rPr>
          <w:rFonts w:ascii="Arial" w:hAnsi="Arial" w:cs="Arial"/>
          <w:sz w:val="20"/>
          <w:szCs w:val="20"/>
        </w:rPr>
      </w:pPr>
    </w:p>
    <w:p w14:paraId="1C157439" w14:textId="4B882405" w:rsidR="007B28BA" w:rsidRPr="00003682" w:rsidRDefault="007B28BA" w:rsidP="00003682">
      <w:pPr>
        <w:rPr>
          <w:rFonts w:ascii="Arial" w:hAnsi="Arial" w:cs="Arial"/>
          <w:b/>
          <w:bCs/>
          <w:i/>
          <w:iCs/>
          <w:sz w:val="20"/>
          <w:szCs w:val="20"/>
        </w:rPr>
      </w:pPr>
      <w:r w:rsidRPr="007B28BA">
        <w:rPr>
          <w:rFonts w:ascii="Arial" w:hAnsi="Arial" w:cs="Arial"/>
          <w:b/>
          <w:bCs/>
          <w:i/>
          <w:iCs/>
          <w:sz w:val="20"/>
          <w:szCs w:val="20"/>
        </w:rPr>
        <w:t xml:space="preserve">RE: </w:t>
      </w:r>
      <w:r w:rsidR="0058384F" w:rsidRPr="0058384F">
        <w:rPr>
          <w:rFonts w:ascii="Arial" w:hAnsi="Arial" w:cs="Arial"/>
          <w:b/>
          <w:bCs/>
          <w:i/>
          <w:iCs/>
          <w:sz w:val="20"/>
          <w:szCs w:val="20"/>
        </w:rPr>
        <w:t>CMS-17</w:t>
      </w:r>
      <w:r w:rsidR="00E853CD">
        <w:rPr>
          <w:rFonts w:ascii="Arial" w:hAnsi="Arial" w:cs="Arial"/>
          <w:b/>
          <w:bCs/>
          <w:i/>
          <w:iCs/>
          <w:sz w:val="20"/>
          <w:szCs w:val="20"/>
        </w:rPr>
        <w:t>72</w:t>
      </w:r>
      <w:r w:rsidR="0058384F" w:rsidRPr="0058384F">
        <w:rPr>
          <w:rFonts w:ascii="Arial" w:hAnsi="Arial" w:cs="Arial"/>
          <w:b/>
          <w:bCs/>
          <w:i/>
          <w:iCs/>
          <w:sz w:val="20"/>
          <w:szCs w:val="20"/>
        </w:rPr>
        <w:t>-P</w:t>
      </w:r>
      <w:r w:rsidR="0058384F">
        <w:rPr>
          <w:rFonts w:ascii="Arial" w:hAnsi="Arial" w:cs="Arial"/>
          <w:b/>
          <w:bCs/>
          <w:i/>
          <w:iCs/>
          <w:sz w:val="20"/>
          <w:szCs w:val="20"/>
        </w:rPr>
        <w:t>, Medicare Pro</w:t>
      </w:r>
      <w:r w:rsidR="001E4642">
        <w:rPr>
          <w:rFonts w:ascii="Arial" w:hAnsi="Arial" w:cs="Arial"/>
          <w:b/>
          <w:bCs/>
          <w:i/>
          <w:iCs/>
          <w:sz w:val="20"/>
          <w:szCs w:val="20"/>
        </w:rPr>
        <w:t xml:space="preserve">posed Rule to Update the </w:t>
      </w:r>
      <w:r w:rsidR="00B9789F">
        <w:rPr>
          <w:rFonts w:ascii="Arial" w:hAnsi="Arial" w:cs="Arial"/>
          <w:b/>
          <w:bCs/>
          <w:i/>
          <w:iCs/>
          <w:sz w:val="20"/>
          <w:szCs w:val="20"/>
        </w:rPr>
        <w:t>Ho</w:t>
      </w:r>
      <w:r w:rsidR="00E853CD">
        <w:rPr>
          <w:rFonts w:ascii="Arial" w:hAnsi="Arial" w:cs="Arial"/>
          <w:b/>
          <w:bCs/>
          <w:i/>
          <w:iCs/>
          <w:sz w:val="20"/>
          <w:szCs w:val="20"/>
        </w:rPr>
        <w:t xml:space="preserve">spital Outpatient </w:t>
      </w:r>
      <w:r w:rsidR="001E4642">
        <w:rPr>
          <w:rFonts w:ascii="Arial" w:hAnsi="Arial" w:cs="Arial"/>
          <w:b/>
          <w:bCs/>
          <w:i/>
          <w:iCs/>
          <w:sz w:val="20"/>
          <w:szCs w:val="20"/>
        </w:rPr>
        <w:t xml:space="preserve">Prospective Payment System for </w:t>
      </w:r>
      <w:r w:rsidR="00B9789F">
        <w:rPr>
          <w:rFonts w:ascii="Arial" w:hAnsi="Arial" w:cs="Arial"/>
          <w:b/>
          <w:bCs/>
          <w:i/>
          <w:iCs/>
          <w:sz w:val="20"/>
          <w:szCs w:val="20"/>
        </w:rPr>
        <w:t>Calendar</w:t>
      </w:r>
      <w:r w:rsidR="001E4642">
        <w:rPr>
          <w:rFonts w:ascii="Arial" w:hAnsi="Arial" w:cs="Arial"/>
          <w:b/>
          <w:bCs/>
          <w:i/>
          <w:iCs/>
          <w:sz w:val="20"/>
          <w:szCs w:val="20"/>
        </w:rPr>
        <w:t xml:space="preserve"> Year (</w:t>
      </w:r>
      <w:r w:rsidR="00B9789F">
        <w:rPr>
          <w:rFonts w:ascii="Arial" w:hAnsi="Arial" w:cs="Arial"/>
          <w:b/>
          <w:bCs/>
          <w:i/>
          <w:iCs/>
          <w:sz w:val="20"/>
          <w:szCs w:val="20"/>
        </w:rPr>
        <w:t>C</w:t>
      </w:r>
      <w:r w:rsidR="001E4642">
        <w:rPr>
          <w:rFonts w:ascii="Arial" w:hAnsi="Arial" w:cs="Arial"/>
          <w:b/>
          <w:bCs/>
          <w:i/>
          <w:iCs/>
          <w:sz w:val="20"/>
          <w:szCs w:val="20"/>
        </w:rPr>
        <w:t>Y) 2023</w:t>
      </w:r>
      <w:r w:rsidR="0058384F">
        <w:rPr>
          <w:rFonts w:ascii="Arial" w:hAnsi="Arial" w:cs="Arial"/>
          <w:b/>
          <w:bCs/>
          <w:i/>
          <w:iCs/>
          <w:sz w:val="20"/>
          <w:szCs w:val="20"/>
        </w:rPr>
        <w:t xml:space="preserve"> </w:t>
      </w:r>
    </w:p>
    <w:p w14:paraId="1E778A8C" w14:textId="77777777" w:rsidR="00003682" w:rsidRPr="007B28BA" w:rsidRDefault="00003682" w:rsidP="007B28BA">
      <w:pPr>
        <w:autoSpaceDE w:val="0"/>
        <w:autoSpaceDN w:val="0"/>
        <w:adjustRightInd w:val="0"/>
        <w:rPr>
          <w:rFonts w:ascii="Arial" w:hAnsi="Arial" w:cs="Arial"/>
          <w:sz w:val="20"/>
          <w:szCs w:val="20"/>
        </w:rPr>
      </w:pPr>
    </w:p>
    <w:p w14:paraId="7E186FD1" w14:textId="7D4584D2" w:rsidR="007B28BA" w:rsidRPr="007B28BA" w:rsidRDefault="007B28BA" w:rsidP="007B28BA">
      <w:pPr>
        <w:autoSpaceDE w:val="0"/>
        <w:autoSpaceDN w:val="0"/>
        <w:adjustRightInd w:val="0"/>
        <w:rPr>
          <w:rFonts w:ascii="Arial" w:hAnsi="Arial" w:cs="Arial"/>
          <w:sz w:val="20"/>
          <w:szCs w:val="20"/>
        </w:rPr>
      </w:pPr>
      <w:r w:rsidRPr="007B28BA">
        <w:rPr>
          <w:rFonts w:ascii="Arial" w:hAnsi="Arial" w:cs="Arial"/>
          <w:sz w:val="20"/>
          <w:szCs w:val="20"/>
        </w:rPr>
        <w:t xml:space="preserve">Dear </w:t>
      </w:r>
      <w:r w:rsidR="005726D5">
        <w:rPr>
          <w:rFonts w:ascii="Arial" w:hAnsi="Arial" w:cs="Arial"/>
          <w:sz w:val="20"/>
          <w:szCs w:val="20"/>
        </w:rPr>
        <w:t>Administrator</w:t>
      </w:r>
      <w:r w:rsidRPr="007B28BA">
        <w:rPr>
          <w:rFonts w:ascii="Arial" w:hAnsi="Arial" w:cs="Arial"/>
          <w:sz w:val="20"/>
          <w:szCs w:val="20"/>
        </w:rPr>
        <w:t xml:space="preserve"> </w:t>
      </w:r>
      <w:r w:rsidR="0058384F" w:rsidRPr="00665022">
        <w:rPr>
          <w:rFonts w:ascii="Arial" w:eastAsia="MS Mincho" w:hAnsi="Arial" w:cs="Arial"/>
          <w:sz w:val="20"/>
          <w:szCs w:val="20"/>
          <w:lang w:eastAsia="ja-JP"/>
        </w:rPr>
        <w:t>Brooks-LaSure</w:t>
      </w:r>
      <w:r w:rsidRPr="007B28BA">
        <w:rPr>
          <w:rFonts w:ascii="Arial" w:hAnsi="Arial" w:cs="Arial"/>
          <w:sz w:val="20"/>
          <w:szCs w:val="20"/>
        </w:rPr>
        <w:t>:</w:t>
      </w:r>
    </w:p>
    <w:p w14:paraId="0A869F36" w14:textId="77777777" w:rsidR="007B28BA" w:rsidRPr="007B28BA" w:rsidRDefault="007B28BA" w:rsidP="007B28BA">
      <w:pPr>
        <w:autoSpaceDE w:val="0"/>
        <w:autoSpaceDN w:val="0"/>
        <w:adjustRightInd w:val="0"/>
        <w:rPr>
          <w:rFonts w:ascii="Arial" w:hAnsi="Arial" w:cs="Arial"/>
          <w:sz w:val="20"/>
          <w:szCs w:val="20"/>
        </w:rPr>
      </w:pPr>
    </w:p>
    <w:p w14:paraId="5B523CF7" w14:textId="447E0FF6" w:rsidR="00003682" w:rsidRDefault="007B28BA" w:rsidP="00FB39CD">
      <w:pPr>
        <w:rPr>
          <w:rFonts w:ascii="Arial" w:hAnsi="Arial" w:cs="Arial"/>
          <w:sz w:val="20"/>
          <w:szCs w:val="20"/>
        </w:rPr>
      </w:pPr>
      <w:r w:rsidRPr="007B28BA">
        <w:rPr>
          <w:rFonts w:ascii="Arial" w:hAnsi="Arial" w:cs="Arial"/>
          <w:sz w:val="20"/>
          <w:szCs w:val="20"/>
        </w:rPr>
        <w:t>On behalf of its member</w:t>
      </w:r>
      <w:r w:rsidR="00364845">
        <w:rPr>
          <w:rFonts w:ascii="Arial" w:hAnsi="Arial" w:cs="Arial"/>
          <w:sz w:val="20"/>
          <w:szCs w:val="20"/>
        </w:rPr>
        <w:t xml:space="preserve"> hospitals</w:t>
      </w:r>
      <w:r w:rsidRPr="007B28BA">
        <w:rPr>
          <w:rFonts w:ascii="Arial" w:hAnsi="Arial" w:cs="Arial"/>
          <w:sz w:val="20"/>
          <w:szCs w:val="20"/>
        </w:rPr>
        <w:t xml:space="preserve">, the Michigan Health &amp; Hospital Association (MHA) appreciates this opportunity to provide comments to the Centers for Medicare &amp; Medicaid Services (CMS) regarding the </w:t>
      </w:r>
      <w:r w:rsidR="00DC76D2">
        <w:rPr>
          <w:rFonts w:ascii="Arial" w:hAnsi="Arial" w:cs="Arial"/>
          <w:sz w:val="20"/>
          <w:szCs w:val="20"/>
        </w:rPr>
        <w:t xml:space="preserve">proposed rule to update the </w:t>
      </w:r>
      <w:r w:rsidR="00263317">
        <w:rPr>
          <w:rFonts w:ascii="Arial" w:hAnsi="Arial" w:cs="Arial"/>
          <w:sz w:val="20"/>
          <w:szCs w:val="20"/>
        </w:rPr>
        <w:t xml:space="preserve">Medicare </w:t>
      </w:r>
      <w:r w:rsidR="00355868">
        <w:rPr>
          <w:rFonts w:ascii="Arial" w:hAnsi="Arial" w:cs="Arial"/>
          <w:sz w:val="20"/>
          <w:szCs w:val="20"/>
        </w:rPr>
        <w:t xml:space="preserve">fee-for-service (FFS) </w:t>
      </w:r>
      <w:r w:rsidR="00E853CD">
        <w:rPr>
          <w:rFonts w:ascii="Arial" w:hAnsi="Arial" w:cs="Arial"/>
          <w:sz w:val="20"/>
          <w:szCs w:val="20"/>
        </w:rPr>
        <w:t xml:space="preserve">hospital outpatient </w:t>
      </w:r>
      <w:r w:rsidR="00355868">
        <w:rPr>
          <w:rFonts w:ascii="Arial" w:hAnsi="Arial" w:cs="Arial"/>
          <w:sz w:val="20"/>
          <w:szCs w:val="20"/>
        </w:rPr>
        <w:t>p</w:t>
      </w:r>
      <w:r w:rsidR="001E4642">
        <w:rPr>
          <w:rFonts w:ascii="Arial" w:hAnsi="Arial" w:cs="Arial"/>
          <w:sz w:val="20"/>
          <w:szCs w:val="20"/>
        </w:rPr>
        <w:t xml:space="preserve">rospective </w:t>
      </w:r>
      <w:r w:rsidR="00355868">
        <w:rPr>
          <w:rFonts w:ascii="Arial" w:hAnsi="Arial" w:cs="Arial"/>
          <w:sz w:val="20"/>
          <w:szCs w:val="20"/>
        </w:rPr>
        <w:t>p</w:t>
      </w:r>
      <w:r w:rsidR="001E4642">
        <w:rPr>
          <w:rFonts w:ascii="Arial" w:hAnsi="Arial" w:cs="Arial"/>
          <w:sz w:val="20"/>
          <w:szCs w:val="20"/>
        </w:rPr>
        <w:t xml:space="preserve">ayment </w:t>
      </w:r>
      <w:r w:rsidR="00355868">
        <w:rPr>
          <w:rFonts w:ascii="Arial" w:hAnsi="Arial" w:cs="Arial"/>
          <w:sz w:val="20"/>
          <w:szCs w:val="20"/>
        </w:rPr>
        <w:t>s</w:t>
      </w:r>
      <w:r w:rsidR="001E4642">
        <w:rPr>
          <w:rFonts w:ascii="Arial" w:hAnsi="Arial" w:cs="Arial"/>
          <w:sz w:val="20"/>
          <w:szCs w:val="20"/>
        </w:rPr>
        <w:t>ystem (</w:t>
      </w:r>
      <w:r w:rsidR="00E853CD">
        <w:rPr>
          <w:rFonts w:ascii="Arial" w:hAnsi="Arial" w:cs="Arial"/>
          <w:sz w:val="20"/>
          <w:szCs w:val="20"/>
        </w:rPr>
        <w:t>O</w:t>
      </w:r>
      <w:r w:rsidR="001E4642">
        <w:rPr>
          <w:rFonts w:ascii="Arial" w:hAnsi="Arial" w:cs="Arial"/>
          <w:sz w:val="20"/>
          <w:szCs w:val="20"/>
        </w:rPr>
        <w:t xml:space="preserve">PPS) </w:t>
      </w:r>
      <w:r w:rsidR="00E853CD">
        <w:rPr>
          <w:rFonts w:ascii="Arial" w:hAnsi="Arial" w:cs="Arial"/>
          <w:sz w:val="20"/>
          <w:szCs w:val="20"/>
        </w:rPr>
        <w:t>f</w:t>
      </w:r>
      <w:r w:rsidR="00DC76D2" w:rsidRPr="00DC76D2">
        <w:rPr>
          <w:rFonts w:ascii="Arial" w:hAnsi="Arial" w:cs="Arial"/>
          <w:sz w:val="20"/>
          <w:szCs w:val="20"/>
        </w:rPr>
        <w:t xml:space="preserve">or </w:t>
      </w:r>
      <w:r w:rsidR="00B9789F">
        <w:rPr>
          <w:rFonts w:ascii="Arial" w:hAnsi="Arial" w:cs="Arial"/>
          <w:sz w:val="20"/>
          <w:szCs w:val="20"/>
        </w:rPr>
        <w:t>calendar</w:t>
      </w:r>
      <w:r w:rsidR="001E4642">
        <w:rPr>
          <w:rFonts w:ascii="Arial" w:hAnsi="Arial" w:cs="Arial"/>
          <w:sz w:val="20"/>
          <w:szCs w:val="20"/>
        </w:rPr>
        <w:t xml:space="preserve"> year (</w:t>
      </w:r>
      <w:r w:rsidR="00B9789F">
        <w:rPr>
          <w:rFonts w:ascii="Arial" w:hAnsi="Arial" w:cs="Arial"/>
          <w:sz w:val="20"/>
          <w:szCs w:val="20"/>
        </w:rPr>
        <w:t>C</w:t>
      </w:r>
      <w:r w:rsidR="001E4642">
        <w:rPr>
          <w:rFonts w:ascii="Arial" w:hAnsi="Arial" w:cs="Arial"/>
          <w:sz w:val="20"/>
          <w:szCs w:val="20"/>
        </w:rPr>
        <w:t>Y) 2023</w:t>
      </w:r>
      <w:r w:rsidR="00DC76D2">
        <w:rPr>
          <w:rFonts w:ascii="Arial" w:hAnsi="Arial" w:cs="Arial"/>
          <w:sz w:val="20"/>
          <w:szCs w:val="20"/>
        </w:rPr>
        <w:t xml:space="preserve">. </w:t>
      </w:r>
      <w:r w:rsidR="00E853CD">
        <w:rPr>
          <w:rFonts w:ascii="Arial" w:hAnsi="Arial" w:cs="Arial"/>
          <w:sz w:val="20"/>
          <w:szCs w:val="20"/>
        </w:rPr>
        <w:t>As officially proposed, t</w:t>
      </w:r>
      <w:r w:rsidR="002C077B" w:rsidRPr="007164DC">
        <w:rPr>
          <w:rFonts w:ascii="Arial" w:hAnsi="Arial" w:cs="Arial"/>
          <w:b/>
          <w:bCs/>
          <w:sz w:val="20"/>
          <w:szCs w:val="20"/>
        </w:rPr>
        <w:t>he rule is e</w:t>
      </w:r>
      <w:r w:rsidR="00F51DE1" w:rsidRPr="007164DC">
        <w:rPr>
          <w:rFonts w:ascii="Arial" w:hAnsi="Arial" w:cs="Arial"/>
          <w:b/>
          <w:bCs/>
          <w:sz w:val="20"/>
          <w:szCs w:val="20"/>
        </w:rPr>
        <w:t>stimated</w:t>
      </w:r>
      <w:r w:rsidR="002C077B" w:rsidRPr="007164DC">
        <w:rPr>
          <w:rFonts w:ascii="Arial" w:hAnsi="Arial" w:cs="Arial"/>
          <w:b/>
          <w:bCs/>
          <w:sz w:val="20"/>
          <w:szCs w:val="20"/>
        </w:rPr>
        <w:t xml:space="preserve"> to </w:t>
      </w:r>
      <w:r w:rsidR="00422761" w:rsidRPr="00422761">
        <w:rPr>
          <w:rFonts w:ascii="Arial" w:hAnsi="Arial" w:cs="Arial"/>
          <w:b/>
          <w:bCs/>
          <w:sz w:val="20"/>
          <w:szCs w:val="20"/>
          <w:u w:val="single"/>
        </w:rPr>
        <w:t>inc</w:t>
      </w:r>
      <w:r w:rsidR="002C077B" w:rsidRPr="00422761">
        <w:rPr>
          <w:rFonts w:ascii="Arial" w:hAnsi="Arial" w:cs="Arial"/>
          <w:b/>
          <w:bCs/>
          <w:sz w:val="20"/>
          <w:szCs w:val="20"/>
          <w:u w:val="single"/>
        </w:rPr>
        <w:t>rease</w:t>
      </w:r>
      <w:r w:rsidR="00A741FB">
        <w:rPr>
          <w:rFonts w:ascii="Arial" w:hAnsi="Arial" w:cs="Arial"/>
          <w:b/>
          <w:bCs/>
          <w:sz w:val="20"/>
          <w:szCs w:val="20"/>
        </w:rPr>
        <w:t xml:space="preserve"> FFS </w:t>
      </w:r>
      <w:r w:rsidR="002C077B" w:rsidRPr="007164DC">
        <w:rPr>
          <w:rFonts w:ascii="Arial" w:hAnsi="Arial" w:cs="Arial"/>
          <w:b/>
          <w:bCs/>
          <w:sz w:val="20"/>
          <w:szCs w:val="20"/>
        </w:rPr>
        <w:t xml:space="preserve">payments to Michigan </w:t>
      </w:r>
      <w:r w:rsidR="00422761">
        <w:rPr>
          <w:rFonts w:ascii="Arial" w:hAnsi="Arial" w:cs="Arial"/>
          <w:b/>
          <w:bCs/>
          <w:sz w:val="20"/>
          <w:szCs w:val="20"/>
        </w:rPr>
        <w:t xml:space="preserve">hospitals by only $43 million, or 2.25%, </w:t>
      </w:r>
      <w:r w:rsidR="007164DC">
        <w:rPr>
          <w:rFonts w:ascii="Arial" w:hAnsi="Arial" w:cs="Arial"/>
          <w:b/>
          <w:bCs/>
          <w:sz w:val="20"/>
          <w:szCs w:val="20"/>
        </w:rPr>
        <w:t xml:space="preserve">at a time when </w:t>
      </w:r>
      <w:r w:rsidR="00422761">
        <w:rPr>
          <w:rFonts w:ascii="Arial" w:hAnsi="Arial" w:cs="Arial"/>
          <w:b/>
          <w:bCs/>
          <w:sz w:val="20"/>
          <w:szCs w:val="20"/>
        </w:rPr>
        <w:t xml:space="preserve">hospitals </w:t>
      </w:r>
      <w:r w:rsidR="00C60ED4">
        <w:rPr>
          <w:rFonts w:ascii="Arial" w:hAnsi="Arial" w:cs="Arial"/>
          <w:sz w:val="20"/>
          <w:szCs w:val="20"/>
        </w:rPr>
        <w:t xml:space="preserve">continue to experience unprecedented </w:t>
      </w:r>
      <w:r w:rsidR="00F86AEA">
        <w:rPr>
          <w:rFonts w:ascii="Arial" w:hAnsi="Arial" w:cs="Arial"/>
          <w:sz w:val="20"/>
          <w:szCs w:val="20"/>
        </w:rPr>
        <w:t>inflationary increases</w:t>
      </w:r>
      <w:r w:rsidR="00C60ED4">
        <w:rPr>
          <w:rFonts w:ascii="Arial" w:hAnsi="Arial" w:cs="Arial"/>
          <w:sz w:val="20"/>
          <w:szCs w:val="20"/>
        </w:rPr>
        <w:t xml:space="preserve"> </w:t>
      </w:r>
      <w:r w:rsidR="00F86AEA">
        <w:rPr>
          <w:rFonts w:ascii="Arial" w:hAnsi="Arial" w:cs="Arial"/>
          <w:sz w:val="20"/>
          <w:szCs w:val="20"/>
        </w:rPr>
        <w:t>for labor, supplies and pharmaceuticals</w:t>
      </w:r>
      <w:r w:rsidR="00453A6E">
        <w:rPr>
          <w:rFonts w:ascii="Arial" w:hAnsi="Arial" w:cs="Arial"/>
          <w:sz w:val="20"/>
          <w:szCs w:val="20"/>
        </w:rPr>
        <w:t xml:space="preserve"> during the ongoing COVID-19 pandemic</w:t>
      </w:r>
      <w:r w:rsidR="00F86AEA">
        <w:rPr>
          <w:rFonts w:ascii="Arial" w:hAnsi="Arial" w:cs="Arial"/>
          <w:sz w:val="20"/>
          <w:szCs w:val="20"/>
        </w:rPr>
        <w:t xml:space="preserve">. </w:t>
      </w:r>
      <w:r w:rsidR="00422761">
        <w:rPr>
          <w:rFonts w:ascii="Arial" w:hAnsi="Arial" w:cs="Arial"/>
          <w:sz w:val="20"/>
          <w:szCs w:val="20"/>
        </w:rPr>
        <w:t xml:space="preserve">Please note that the MHA submitted comments on Aug. </w:t>
      </w:r>
      <w:r w:rsidR="00993F59">
        <w:rPr>
          <w:rFonts w:ascii="Arial" w:hAnsi="Arial" w:cs="Arial"/>
          <w:sz w:val="20"/>
          <w:szCs w:val="20"/>
        </w:rPr>
        <w:t xml:space="preserve">16 </w:t>
      </w:r>
      <w:r w:rsidR="00422761">
        <w:rPr>
          <w:rFonts w:ascii="Arial" w:hAnsi="Arial" w:cs="Arial"/>
          <w:sz w:val="20"/>
          <w:szCs w:val="20"/>
        </w:rPr>
        <w:t>regarding the proposed changes related to 340B drug payments and request</w:t>
      </w:r>
      <w:r w:rsidR="00307BFD">
        <w:rPr>
          <w:rFonts w:ascii="Arial" w:hAnsi="Arial" w:cs="Arial"/>
          <w:sz w:val="20"/>
          <w:szCs w:val="20"/>
        </w:rPr>
        <w:t>ed</w:t>
      </w:r>
      <w:r w:rsidR="00422761">
        <w:rPr>
          <w:rFonts w:ascii="Arial" w:hAnsi="Arial" w:cs="Arial"/>
          <w:sz w:val="20"/>
          <w:szCs w:val="20"/>
        </w:rPr>
        <w:t xml:space="preserve"> that the CMS find new funds to restore these payments to average sales price plus 6% rather than funding through a reduction in the </w:t>
      </w:r>
      <w:r w:rsidR="001B3587">
        <w:rPr>
          <w:rFonts w:ascii="Arial" w:hAnsi="Arial" w:cs="Arial"/>
          <w:sz w:val="20"/>
          <w:szCs w:val="20"/>
        </w:rPr>
        <w:t xml:space="preserve">outpatient </w:t>
      </w:r>
      <w:r w:rsidR="00422761">
        <w:rPr>
          <w:rFonts w:ascii="Arial" w:hAnsi="Arial" w:cs="Arial"/>
          <w:sz w:val="20"/>
          <w:szCs w:val="20"/>
        </w:rPr>
        <w:t xml:space="preserve">conversion factor as suggested in the proposed rule. </w:t>
      </w:r>
      <w:r w:rsidR="00307BFD">
        <w:rPr>
          <w:rFonts w:ascii="Arial" w:hAnsi="Arial" w:cs="Arial"/>
          <w:sz w:val="20"/>
          <w:szCs w:val="20"/>
        </w:rPr>
        <w:t>We are also submitting a separate comment letter regarding the rural emergency hospital policies proposed in this rule. This letter provides comments on o</w:t>
      </w:r>
      <w:r w:rsidR="00422761">
        <w:rPr>
          <w:rFonts w:ascii="Arial" w:hAnsi="Arial" w:cs="Arial"/>
          <w:sz w:val="20"/>
          <w:szCs w:val="20"/>
        </w:rPr>
        <w:t xml:space="preserve">ther </w:t>
      </w:r>
      <w:r w:rsidR="00307BFD">
        <w:rPr>
          <w:rFonts w:ascii="Arial" w:hAnsi="Arial" w:cs="Arial"/>
          <w:sz w:val="20"/>
          <w:szCs w:val="20"/>
        </w:rPr>
        <w:t xml:space="preserve">broader </w:t>
      </w:r>
      <w:r w:rsidR="00422761">
        <w:rPr>
          <w:rFonts w:ascii="Arial" w:hAnsi="Arial" w:cs="Arial"/>
          <w:sz w:val="20"/>
          <w:szCs w:val="20"/>
        </w:rPr>
        <w:t xml:space="preserve">provisions in the </w:t>
      </w:r>
      <w:r w:rsidR="001B3587">
        <w:rPr>
          <w:rFonts w:ascii="Arial" w:hAnsi="Arial" w:cs="Arial"/>
          <w:sz w:val="20"/>
          <w:szCs w:val="20"/>
        </w:rPr>
        <w:t xml:space="preserve">proposed </w:t>
      </w:r>
      <w:r w:rsidR="00422761">
        <w:rPr>
          <w:rFonts w:ascii="Arial" w:hAnsi="Arial" w:cs="Arial"/>
          <w:sz w:val="20"/>
          <w:szCs w:val="20"/>
        </w:rPr>
        <w:t>rule</w:t>
      </w:r>
      <w:r w:rsidR="00307BFD">
        <w:rPr>
          <w:rFonts w:ascii="Arial" w:hAnsi="Arial" w:cs="Arial"/>
          <w:sz w:val="20"/>
          <w:szCs w:val="20"/>
        </w:rPr>
        <w:t xml:space="preserve"> and are below</w:t>
      </w:r>
      <w:r w:rsidR="004E4A9B">
        <w:rPr>
          <w:rFonts w:ascii="Arial" w:hAnsi="Arial" w:cs="Arial"/>
          <w:sz w:val="20"/>
          <w:szCs w:val="20"/>
        </w:rPr>
        <w:t>.</w:t>
      </w:r>
    </w:p>
    <w:p w14:paraId="79BE1508" w14:textId="08B18C83" w:rsidR="001E3DC5" w:rsidRDefault="001E3DC5" w:rsidP="00FB39CD">
      <w:pPr>
        <w:rPr>
          <w:rFonts w:ascii="Arial" w:hAnsi="Arial" w:cs="Arial"/>
          <w:sz w:val="20"/>
          <w:szCs w:val="20"/>
        </w:rPr>
      </w:pPr>
    </w:p>
    <w:p w14:paraId="0E403E6E" w14:textId="06339324" w:rsidR="007C7806" w:rsidRDefault="007C7806" w:rsidP="007C7806">
      <w:pPr>
        <w:widowControl w:val="0"/>
        <w:autoSpaceDE w:val="0"/>
        <w:autoSpaceDN w:val="0"/>
        <w:spacing w:before="22" w:line="259" w:lineRule="auto"/>
        <w:rPr>
          <w:rFonts w:ascii="Arial" w:eastAsia="Calibri" w:hAnsi="Arial" w:cs="Arial"/>
          <w:b/>
          <w:bCs/>
          <w:smallCaps/>
          <w:sz w:val="20"/>
          <w:szCs w:val="20"/>
          <w:u w:val="single"/>
        </w:rPr>
      </w:pPr>
      <w:r>
        <w:rPr>
          <w:rFonts w:ascii="Arial" w:eastAsia="Calibri" w:hAnsi="Arial" w:cs="Arial"/>
          <w:b/>
          <w:bCs/>
          <w:smallCaps/>
          <w:sz w:val="20"/>
          <w:szCs w:val="20"/>
          <w:u w:val="single"/>
        </w:rPr>
        <w:t>PAYMENT UPDATE</w:t>
      </w:r>
    </w:p>
    <w:p w14:paraId="7045998D" w14:textId="77777777" w:rsidR="001E3DC5" w:rsidRPr="001E3DC5" w:rsidRDefault="001E3DC5" w:rsidP="001E3DC5">
      <w:pPr>
        <w:widowControl w:val="0"/>
        <w:autoSpaceDE w:val="0"/>
        <w:autoSpaceDN w:val="0"/>
        <w:spacing w:before="22" w:line="259" w:lineRule="auto"/>
        <w:rPr>
          <w:rFonts w:ascii="Arial" w:eastAsia="Calibri" w:hAnsi="Arial" w:cs="Arial"/>
          <w:b/>
          <w:bCs/>
          <w:smallCaps/>
          <w:sz w:val="20"/>
          <w:szCs w:val="20"/>
          <w:u w:val="single"/>
        </w:rPr>
      </w:pPr>
    </w:p>
    <w:p w14:paraId="3920A485" w14:textId="14C68430" w:rsidR="001E3DC5" w:rsidRPr="001E3DC5" w:rsidRDefault="001E3DC5" w:rsidP="001E3DC5">
      <w:pPr>
        <w:widowControl w:val="0"/>
        <w:autoSpaceDE w:val="0"/>
        <w:autoSpaceDN w:val="0"/>
        <w:spacing w:before="22" w:line="259" w:lineRule="auto"/>
        <w:rPr>
          <w:rFonts w:ascii="Arial" w:hAnsi="Arial" w:cs="Arial"/>
          <w:b/>
          <w:bCs/>
          <w:sz w:val="20"/>
          <w:szCs w:val="20"/>
        </w:rPr>
      </w:pPr>
      <w:r w:rsidRPr="001E3DC5">
        <w:rPr>
          <w:rFonts w:ascii="Arial" w:hAnsi="Arial" w:cs="Arial"/>
          <w:sz w:val="20"/>
          <w:szCs w:val="20"/>
        </w:rPr>
        <w:t xml:space="preserve">The </w:t>
      </w:r>
      <w:r w:rsidR="00D5214A">
        <w:rPr>
          <w:rFonts w:ascii="Arial" w:hAnsi="Arial" w:cs="Arial"/>
          <w:sz w:val="20"/>
          <w:szCs w:val="20"/>
        </w:rPr>
        <w:t>rule results in a net rate update of 3.1% for 2023 after the ma</w:t>
      </w:r>
      <w:r w:rsidRPr="001E3DC5">
        <w:rPr>
          <w:rFonts w:ascii="Arial" w:hAnsi="Arial" w:cs="Arial"/>
          <w:sz w:val="20"/>
          <w:szCs w:val="20"/>
        </w:rPr>
        <w:t xml:space="preserve">rket basket update of 3.1% </w:t>
      </w:r>
      <w:r w:rsidR="00D5214A">
        <w:rPr>
          <w:rFonts w:ascii="Arial" w:hAnsi="Arial" w:cs="Arial"/>
          <w:sz w:val="20"/>
          <w:szCs w:val="20"/>
        </w:rPr>
        <w:t>is reduced for the</w:t>
      </w:r>
      <w:r w:rsidRPr="001E3DC5">
        <w:rPr>
          <w:rFonts w:ascii="Arial" w:hAnsi="Arial" w:cs="Arial"/>
          <w:sz w:val="20"/>
          <w:szCs w:val="20"/>
        </w:rPr>
        <w:t xml:space="preserve"> productivity adjustment of 0.4 percentage points</w:t>
      </w:r>
      <w:r>
        <w:rPr>
          <w:rFonts w:ascii="Arial" w:hAnsi="Arial" w:cs="Arial"/>
          <w:sz w:val="20"/>
          <w:szCs w:val="20"/>
        </w:rPr>
        <w:t xml:space="preserve"> </w:t>
      </w:r>
      <w:r w:rsidR="00D5214A">
        <w:rPr>
          <w:rFonts w:ascii="Arial" w:hAnsi="Arial" w:cs="Arial"/>
          <w:sz w:val="20"/>
          <w:szCs w:val="20"/>
        </w:rPr>
        <w:t xml:space="preserve">and other </w:t>
      </w:r>
      <w:r w:rsidR="00461A41">
        <w:rPr>
          <w:rFonts w:ascii="Arial" w:hAnsi="Arial" w:cs="Arial"/>
          <w:sz w:val="20"/>
          <w:szCs w:val="20"/>
        </w:rPr>
        <w:t>budget neutrality adjustments</w:t>
      </w:r>
      <w:r w:rsidR="00D5214A">
        <w:rPr>
          <w:rFonts w:ascii="Arial" w:hAnsi="Arial" w:cs="Arial"/>
          <w:sz w:val="20"/>
          <w:szCs w:val="20"/>
        </w:rPr>
        <w:t xml:space="preserve"> are made</w:t>
      </w:r>
      <w:r w:rsidRPr="001E3DC5">
        <w:rPr>
          <w:rFonts w:ascii="Arial" w:hAnsi="Arial" w:cs="Arial"/>
          <w:sz w:val="20"/>
          <w:szCs w:val="20"/>
        </w:rPr>
        <w:t xml:space="preserve">. </w:t>
      </w:r>
      <w:r w:rsidR="00993F59">
        <w:rPr>
          <w:rFonts w:ascii="Arial" w:hAnsi="Arial" w:cs="Arial"/>
          <w:sz w:val="20"/>
          <w:szCs w:val="20"/>
        </w:rPr>
        <w:t xml:space="preserve">The MHA </w:t>
      </w:r>
      <w:r w:rsidR="00BC2CCF">
        <w:rPr>
          <w:rFonts w:ascii="Arial" w:hAnsi="Arial" w:cs="Arial"/>
          <w:sz w:val="20"/>
          <w:szCs w:val="20"/>
        </w:rPr>
        <w:t xml:space="preserve">has significant concerns regarding </w:t>
      </w:r>
      <w:r w:rsidR="00993F59">
        <w:rPr>
          <w:rFonts w:ascii="Arial" w:hAnsi="Arial" w:cs="Arial"/>
          <w:sz w:val="20"/>
          <w:szCs w:val="20"/>
        </w:rPr>
        <w:t>t</w:t>
      </w:r>
      <w:r w:rsidRPr="001E3DC5">
        <w:rPr>
          <w:rFonts w:ascii="Arial" w:hAnsi="Arial" w:cs="Arial"/>
          <w:sz w:val="20"/>
          <w:szCs w:val="20"/>
        </w:rPr>
        <w:t>h</w:t>
      </w:r>
      <w:r w:rsidR="00BC2CCF">
        <w:rPr>
          <w:rFonts w:ascii="Arial" w:hAnsi="Arial" w:cs="Arial"/>
          <w:sz w:val="20"/>
          <w:szCs w:val="20"/>
        </w:rPr>
        <w:t>e</w:t>
      </w:r>
      <w:r w:rsidRPr="001E3DC5">
        <w:rPr>
          <w:rFonts w:ascii="Arial" w:hAnsi="Arial" w:cs="Arial"/>
          <w:sz w:val="20"/>
          <w:szCs w:val="20"/>
        </w:rPr>
        <w:t xml:space="preserve"> proposed update </w:t>
      </w:r>
      <w:r w:rsidR="00D5214A">
        <w:rPr>
          <w:rFonts w:ascii="Arial" w:hAnsi="Arial" w:cs="Arial"/>
          <w:sz w:val="20"/>
          <w:szCs w:val="20"/>
        </w:rPr>
        <w:t xml:space="preserve">for 2023 </w:t>
      </w:r>
      <w:r w:rsidRPr="001E3DC5">
        <w:rPr>
          <w:rFonts w:ascii="Arial" w:hAnsi="Arial" w:cs="Arial"/>
          <w:sz w:val="20"/>
          <w:szCs w:val="20"/>
        </w:rPr>
        <w:t xml:space="preserve">and the 2022 payment update of </w:t>
      </w:r>
      <w:r>
        <w:rPr>
          <w:rFonts w:ascii="Arial" w:hAnsi="Arial" w:cs="Arial"/>
          <w:sz w:val="20"/>
          <w:szCs w:val="20"/>
        </w:rPr>
        <w:t>1</w:t>
      </w:r>
      <w:r w:rsidRPr="001E3DC5">
        <w:rPr>
          <w:rFonts w:ascii="Arial" w:hAnsi="Arial" w:cs="Arial"/>
          <w:sz w:val="20"/>
          <w:szCs w:val="20"/>
        </w:rPr>
        <w:t xml:space="preserve">.7% </w:t>
      </w:r>
      <w:r w:rsidR="00BC2CCF">
        <w:rPr>
          <w:rFonts w:ascii="Arial" w:hAnsi="Arial" w:cs="Arial"/>
          <w:sz w:val="20"/>
          <w:szCs w:val="20"/>
        </w:rPr>
        <w:t>which ar</w:t>
      </w:r>
      <w:r w:rsidRPr="001E3DC5">
        <w:rPr>
          <w:rFonts w:ascii="Arial" w:hAnsi="Arial" w:cs="Arial"/>
          <w:sz w:val="20"/>
          <w:szCs w:val="20"/>
        </w:rPr>
        <w:t xml:space="preserve">e </w:t>
      </w:r>
      <w:r>
        <w:rPr>
          <w:rFonts w:ascii="Arial" w:hAnsi="Arial" w:cs="Arial"/>
          <w:sz w:val="20"/>
          <w:szCs w:val="20"/>
        </w:rPr>
        <w:t xml:space="preserve">woefully </w:t>
      </w:r>
      <w:r w:rsidRPr="001E3DC5">
        <w:rPr>
          <w:rFonts w:ascii="Arial" w:hAnsi="Arial" w:cs="Arial"/>
          <w:sz w:val="20"/>
          <w:szCs w:val="20"/>
        </w:rPr>
        <w:t>inadequate and fail to capture the unprecedented inflationary environment</w:t>
      </w:r>
      <w:r w:rsidR="00461A41">
        <w:rPr>
          <w:rFonts w:ascii="Arial" w:hAnsi="Arial" w:cs="Arial"/>
          <w:sz w:val="20"/>
          <w:szCs w:val="20"/>
        </w:rPr>
        <w:t xml:space="preserve"> hospitals are experiencing</w:t>
      </w:r>
      <w:r w:rsidRPr="001E3DC5">
        <w:rPr>
          <w:rFonts w:ascii="Arial" w:hAnsi="Arial" w:cs="Arial"/>
          <w:sz w:val="20"/>
          <w:szCs w:val="20"/>
        </w:rPr>
        <w:t xml:space="preserve">. Since the market basket is a time-lagged estimate that uses historical data to forecast into the future, it is not an accurate predictor of future changes due to the current inflationary environment and has resulted in inadequate updates. This is essentially what has occurred when forecasting the 2022 and 2023 market basket and productivity adjustments. More recent data from IHS Global Inc. indicates a market basket of roughly 4% for the current year, significantly above the 2.7% implemented for FY 2022. In addition, the latest data reflects decreases in productivity rather than gains. </w:t>
      </w:r>
      <w:r w:rsidRPr="001E3DC5">
        <w:rPr>
          <w:rFonts w:ascii="Arial" w:hAnsi="Arial" w:cs="Arial"/>
          <w:b/>
          <w:bCs/>
          <w:sz w:val="20"/>
          <w:szCs w:val="20"/>
        </w:rPr>
        <w:t xml:space="preserve">We </w:t>
      </w:r>
      <w:r>
        <w:rPr>
          <w:rFonts w:ascii="Arial" w:hAnsi="Arial" w:cs="Arial"/>
          <w:b/>
          <w:bCs/>
          <w:sz w:val="20"/>
          <w:szCs w:val="20"/>
        </w:rPr>
        <w:t xml:space="preserve">appreciate the CMS’ </w:t>
      </w:r>
      <w:r w:rsidR="00BC2CCF">
        <w:rPr>
          <w:rFonts w:ascii="Arial" w:hAnsi="Arial" w:cs="Arial"/>
          <w:b/>
          <w:bCs/>
          <w:sz w:val="20"/>
          <w:szCs w:val="20"/>
        </w:rPr>
        <w:t xml:space="preserve">use of second quarter 2022 forecast data in </w:t>
      </w:r>
      <w:r>
        <w:rPr>
          <w:rFonts w:ascii="Arial" w:hAnsi="Arial" w:cs="Arial"/>
          <w:b/>
          <w:bCs/>
          <w:sz w:val="20"/>
          <w:szCs w:val="20"/>
        </w:rPr>
        <w:t xml:space="preserve">the inpatient PPS final rule </w:t>
      </w:r>
      <w:r w:rsidR="00D5214A">
        <w:rPr>
          <w:rFonts w:ascii="Arial" w:hAnsi="Arial" w:cs="Arial"/>
          <w:b/>
          <w:bCs/>
          <w:sz w:val="20"/>
          <w:szCs w:val="20"/>
        </w:rPr>
        <w:t xml:space="preserve">which resulted in a higher update </w:t>
      </w:r>
      <w:r>
        <w:rPr>
          <w:rFonts w:ascii="Arial" w:hAnsi="Arial" w:cs="Arial"/>
          <w:b/>
          <w:bCs/>
          <w:sz w:val="20"/>
          <w:szCs w:val="20"/>
        </w:rPr>
        <w:t xml:space="preserve">and </w:t>
      </w:r>
      <w:r w:rsidRPr="001E3DC5">
        <w:rPr>
          <w:rFonts w:ascii="Arial" w:hAnsi="Arial" w:cs="Arial"/>
          <w:b/>
          <w:bCs/>
          <w:sz w:val="20"/>
          <w:szCs w:val="20"/>
        </w:rPr>
        <w:t xml:space="preserve">urge the CMS to </w:t>
      </w:r>
      <w:r w:rsidR="00BC2CCF">
        <w:rPr>
          <w:rFonts w:ascii="Arial" w:hAnsi="Arial" w:cs="Arial"/>
          <w:b/>
          <w:bCs/>
          <w:sz w:val="20"/>
          <w:szCs w:val="20"/>
        </w:rPr>
        <w:t xml:space="preserve">adopt this market basket update in the OPPS final rule to increase payments to better reflect the current economic reality faced by hospitals given </w:t>
      </w:r>
      <w:r w:rsidRPr="001E3DC5">
        <w:rPr>
          <w:rFonts w:ascii="Arial" w:hAnsi="Arial" w:cs="Arial"/>
          <w:b/>
          <w:bCs/>
          <w:sz w:val="20"/>
          <w:szCs w:val="20"/>
        </w:rPr>
        <w:t xml:space="preserve">the rapidly changing health care system dynamics and current inflationary environment. </w:t>
      </w:r>
    </w:p>
    <w:p w14:paraId="3454442E" w14:textId="77777777" w:rsidR="001E3DC5" w:rsidRPr="001E3DC5" w:rsidRDefault="001E3DC5" w:rsidP="001E3DC5">
      <w:pPr>
        <w:widowControl w:val="0"/>
        <w:autoSpaceDE w:val="0"/>
        <w:autoSpaceDN w:val="0"/>
        <w:spacing w:before="22" w:line="259" w:lineRule="auto"/>
        <w:rPr>
          <w:rFonts w:ascii="Arial" w:hAnsi="Arial" w:cs="Arial"/>
          <w:sz w:val="20"/>
          <w:szCs w:val="20"/>
        </w:rPr>
      </w:pPr>
    </w:p>
    <w:p w14:paraId="1FC86597" w14:textId="77777777" w:rsidR="001E3DC5" w:rsidRPr="001E3DC5" w:rsidRDefault="001E3DC5" w:rsidP="001E3DC5">
      <w:pPr>
        <w:widowControl w:val="0"/>
        <w:autoSpaceDE w:val="0"/>
        <w:autoSpaceDN w:val="0"/>
        <w:spacing w:before="22" w:line="259" w:lineRule="auto"/>
        <w:rPr>
          <w:rFonts w:ascii="Arial" w:hAnsi="Arial" w:cs="Arial"/>
          <w:sz w:val="20"/>
          <w:szCs w:val="20"/>
        </w:rPr>
      </w:pPr>
      <w:r w:rsidRPr="001E3DC5">
        <w:rPr>
          <w:rFonts w:ascii="Arial" w:hAnsi="Arial" w:cs="Arial"/>
          <w:sz w:val="20"/>
          <w:szCs w:val="20"/>
        </w:rPr>
        <w:t>Specifically, the MHA urges the CMS to:</w:t>
      </w:r>
    </w:p>
    <w:p w14:paraId="65EE1344" w14:textId="25A0D264" w:rsidR="001E3DC5" w:rsidRPr="001E3DC5" w:rsidRDefault="001E3DC5" w:rsidP="001E3DC5">
      <w:pPr>
        <w:widowControl w:val="0"/>
        <w:numPr>
          <w:ilvl w:val="0"/>
          <w:numId w:val="32"/>
        </w:numPr>
        <w:autoSpaceDE w:val="0"/>
        <w:autoSpaceDN w:val="0"/>
        <w:spacing w:before="22" w:after="160" w:line="259" w:lineRule="auto"/>
        <w:contextualSpacing/>
        <w:rPr>
          <w:rFonts w:ascii="Arial" w:hAnsi="Arial" w:cs="Arial"/>
          <w:b/>
          <w:bCs/>
          <w:sz w:val="20"/>
          <w:szCs w:val="20"/>
        </w:rPr>
      </w:pPr>
      <w:r w:rsidRPr="001E3DC5">
        <w:rPr>
          <w:rFonts w:ascii="Arial" w:hAnsi="Arial" w:cs="Arial"/>
          <w:b/>
          <w:bCs/>
          <w:sz w:val="20"/>
          <w:szCs w:val="20"/>
        </w:rPr>
        <w:lastRenderedPageBreak/>
        <w:t xml:space="preserve">Implement a retrospective adjustment for 2023 to account for the difference between the </w:t>
      </w:r>
      <w:r>
        <w:rPr>
          <w:rFonts w:ascii="Arial" w:hAnsi="Arial" w:cs="Arial"/>
          <w:b/>
          <w:bCs/>
          <w:sz w:val="20"/>
          <w:szCs w:val="20"/>
        </w:rPr>
        <w:t>1</w:t>
      </w:r>
      <w:r w:rsidRPr="001E3DC5">
        <w:rPr>
          <w:rFonts w:ascii="Arial" w:hAnsi="Arial" w:cs="Arial"/>
          <w:b/>
          <w:bCs/>
          <w:sz w:val="20"/>
          <w:szCs w:val="20"/>
        </w:rPr>
        <w:t>.7% market basket update implemented for 2022 and what the market basket is currently projected to be for 2022, which is roughly 4% and</w:t>
      </w:r>
    </w:p>
    <w:p w14:paraId="7966077E" w14:textId="6512781A" w:rsidR="001E3DC5" w:rsidRPr="001E3DC5" w:rsidRDefault="001E3DC5" w:rsidP="001E3DC5">
      <w:pPr>
        <w:widowControl w:val="0"/>
        <w:numPr>
          <w:ilvl w:val="0"/>
          <w:numId w:val="32"/>
        </w:numPr>
        <w:autoSpaceDE w:val="0"/>
        <w:autoSpaceDN w:val="0"/>
        <w:spacing w:before="22" w:after="160" w:line="259" w:lineRule="auto"/>
        <w:contextualSpacing/>
        <w:rPr>
          <w:rFonts w:ascii="Arial" w:hAnsi="Arial" w:cs="Arial"/>
          <w:b/>
          <w:bCs/>
          <w:sz w:val="20"/>
          <w:szCs w:val="20"/>
        </w:rPr>
      </w:pPr>
      <w:r w:rsidRPr="001E3DC5">
        <w:rPr>
          <w:rFonts w:ascii="Arial" w:hAnsi="Arial" w:cs="Arial"/>
          <w:b/>
          <w:bCs/>
          <w:sz w:val="20"/>
          <w:szCs w:val="20"/>
        </w:rPr>
        <w:t xml:space="preserve">Eliminate the 0.4 percentage point productivity cut for 2023. </w:t>
      </w:r>
    </w:p>
    <w:p w14:paraId="57E66BE1" w14:textId="77777777" w:rsidR="004A7C99" w:rsidRPr="004A7C99" w:rsidRDefault="004A7C99" w:rsidP="004A7C99">
      <w:pPr>
        <w:widowControl w:val="0"/>
        <w:autoSpaceDE w:val="0"/>
        <w:autoSpaceDN w:val="0"/>
        <w:spacing w:before="22" w:line="259" w:lineRule="auto"/>
        <w:rPr>
          <w:rFonts w:ascii="Arial" w:eastAsia="Calibri" w:hAnsi="Arial" w:cs="Arial"/>
          <w:b/>
          <w:bCs/>
          <w:sz w:val="20"/>
          <w:szCs w:val="20"/>
        </w:rPr>
      </w:pPr>
    </w:p>
    <w:p w14:paraId="28C95336" w14:textId="46487BC1" w:rsidR="00BC0E82" w:rsidRDefault="00BC0E82" w:rsidP="004A7C99">
      <w:pPr>
        <w:widowControl w:val="0"/>
        <w:autoSpaceDE w:val="0"/>
        <w:autoSpaceDN w:val="0"/>
        <w:spacing w:before="22" w:line="259" w:lineRule="auto"/>
        <w:rPr>
          <w:rFonts w:ascii="Arial" w:eastAsia="Calibri" w:hAnsi="Arial" w:cs="Arial"/>
          <w:b/>
          <w:bCs/>
          <w:smallCaps/>
          <w:sz w:val="20"/>
          <w:szCs w:val="20"/>
          <w:u w:val="single"/>
        </w:rPr>
      </w:pPr>
      <w:r>
        <w:rPr>
          <w:rFonts w:ascii="Arial" w:eastAsia="Calibri" w:hAnsi="Arial" w:cs="Arial"/>
          <w:b/>
          <w:bCs/>
          <w:smallCaps/>
          <w:sz w:val="20"/>
          <w:szCs w:val="20"/>
          <w:u w:val="single"/>
        </w:rPr>
        <w:t>Permanent 5% cap on Wage Index Decreases</w:t>
      </w:r>
    </w:p>
    <w:p w14:paraId="2DF5F0AB" w14:textId="77777777" w:rsidR="00BC0E82" w:rsidRDefault="00BC0E82" w:rsidP="00BC0E82">
      <w:pPr>
        <w:autoSpaceDE w:val="0"/>
        <w:autoSpaceDN w:val="0"/>
        <w:adjustRightInd w:val="0"/>
        <w:rPr>
          <w:rFonts w:ascii="Arial" w:hAnsi="Arial" w:cs="Arial"/>
          <w:bCs/>
          <w:color w:val="000000"/>
          <w:sz w:val="20"/>
          <w:szCs w:val="20"/>
        </w:rPr>
      </w:pPr>
    </w:p>
    <w:p w14:paraId="64E2AB5E" w14:textId="6E39092A" w:rsidR="00BC0E82" w:rsidRPr="00BC0E82" w:rsidRDefault="00C90946" w:rsidP="00BC0E82">
      <w:pPr>
        <w:autoSpaceDE w:val="0"/>
        <w:autoSpaceDN w:val="0"/>
        <w:adjustRightInd w:val="0"/>
        <w:rPr>
          <w:rFonts w:ascii="Arial" w:hAnsi="Arial" w:cs="Arial"/>
          <w:bCs/>
          <w:color w:val="000000"/>
          <w:sz w:val="20"/>
          <w:szCs w:val="20"/>
        </w:rPr>
      </w:pPr>
      <w:r>
        <w:rPr>
          <w:rFonts w:ascii="Arial" w:hAnsi="Arial" w:cs="Arial"/>
          <w:bCs/>
          <w:color w:val="000000"/>
          <w:sz w:val="20"/>
          <w:szCs w:val="20"/>
        </w:rPr>
        <w:t xml:space="preserve">In efforts to align with </w:t>
      </w:r>
      <w:r w:rsidR="00FE289A">
        <w:rPr>
          <w:rFonts w:ascii="Arial" w:hAnsi="Arial" w:cs="Arial"/>
          <w:bCs/>
          <w:color w:val="000000"/>
          <w:sz w:val="20"/>
          <w:szCs w:val="20"/>
        </w:rPr>
        <w:t>changes</w:t>
      </w:r>
      <w:r>
        <w:rPr>
          <w:rFonts w:ascii="Arial" w:hAnsi="Arial" w:cs="Arial"/>
          <w:bCs/>
          <w:color w:val="000000"/>
          <w:sz w:val="20"/>
          <w:szCs w:val="20"/>
        </w:rPr>
        <w:t xml:space="preserve"> </w:t>
      </w:r>
      <w:r w:rsidR="00FE289A">
        <w:rPr>
          <w:rFonts w:ascii="Arial" w:hAnsi="Arial" w:cs="Arial"/>
          <w:bCs/>
          <w:color w:val="000000"/>
          <w:sz w:val="20"/>
          <w:szCs w:val="20"/>
        </w:rPr>
        <w:t xml:space="preserve">finalized </w:t>
      </w:r>
      <w:r>
        <w:rPr>
          <w:rFonts w:ascii="Arial" w:hAnsi="Arial" w:cs="Arial"/>
          <w:bCs/>
          <w:color w:val="000000"/>
          <w:sz w:val="20"/>
          <w:szCs w:val="20"/>
        </w:rPr>
        <w:t>in the FY 2023 PPS</w:t>
      </w:r>
      <w:r w:rsidR="00FE289A">
        <w:rPr>
          <w:rFonts w:ascii="Arial" w:hAnsi="Arial" w:cs="Arial"/>
          <w:bCs/>
          <w:color w:val="000000"/>
          <w:sz w:val="20"/>
          <w:szCs w:val="20"/>
        </w:rPr>
        <w:t xml:space="preserve"> rules for inpatient and post-acute care</w:t>
      </w:r>
      <w:r>
        <w:rPr>
          <w:rFonts w:ascii="Arial" w:hAnsi="Arial" w:cs="Arial"/>
          <w:bCs/>
          <w:color w:val="000000"/>
          <w:sz w:val="20"/>
          <w:szCs w:val="20"/>
        </w:rPr>
        <w:t xml:space="preserve"> and increase predictability in </w:t>
      </w:r>
      <w:r w:rsidR="00A215CA">
        <w:rPr>
          <w:rFonts w:ascii="Arial" w:hAnsi="Arial" w:cs="Arial"/>
          <w:bCs/>
          <w:color w:val="000000"/>
          <w:sz w:val="20"/>
          <w:szCs w:val="20"/>
        </w:rPr>
        <w:t>OPPS</w:t>
      </w:r>
      <w:r>
        <w:rPr>
          <w:rFonts w:ascii="Arial" w:hAnsi="Arial" w:cs="Arial"/>
          <w:bCs/>
          <w:color w:val="000000"/>
          <w:sz w:val="20"/>
          <w:szCs w:val="20"/>
        </w:rPr>
        <w:t xml:space="preserve"> payments, the CMS proposes a permanent budget neutral approach to mitigate changes in the pre-floor/pre-reclassified hospital wage index. Specifically, the CMS proposes a permanent 5% </w:t>
      </w:r>
      <w:r w:rsidR="00FE289A">
        <w:rPr>
          <w:rFonts w:ascii="Arial" w:hAnsi="Arial" w:cs="Arial"/>
          <w:bCs/>
          <w:color w:val="000000"/>
          <w:sz w:val="20"/>
          <w:szCs w:val="20"/>
        </w:rPr>
        <w:t xml:space="preserve">annual </w:t>
      </w:r>
      <w:r w:rsidR="00BC0E82" w:rsidRPr="00BC0E82">
        <w:rPr>
          <w:rFonts w:ascii="Arial" w:hAnsi="Arial" w:cs="Arial"/>
          <w:bCs/>
          <w:color w:val="000000"/>
          <w:sz w:val="20"/>
          <w:szCs w:val="20"/>
        </w:rPr>
        <w:t xml:space="preserve">cap </w:t>
      </w:r>
      <w:r>
        <w:rPr>
          <w:rFonts w:ascii="Arial" w:hAnsi="Arial" w:cs="Arial"/>
          <w:bCs/>
          <w:color w:val="000000"/>
          <w:sz w:val="20"/>
          <w:szCs w:val="20"/>
        </w:rPr>
        <w:t xml:space="preserve">on negative wage index changes. </w:t>
      </w:r>
      <w:r w:rsidRPr="00C90946">
        <w:rPr>
          <w:rFonts w:ascii="Arial" w:hAnsi="Arial" w:cs="Arial"/>
          <w:b/>
          <w:color w:val="000000"/>
          <w:sz w:val="20"/>
          <w:szCs w:val="20"/>
        </w:rPr>
        <w:t>As indicated in our comments on other FY 2023 proposed rules, the MHA is supportive of this policy but urge</w:t>
      </w:r>
      <w:r w:rsidR="00A34E47">
        <w:rPr>
          <w:rFonts w:ascii="Arial" w:hAnsi="Arial" w:cs="Arial"/>
          <w:b/>
          <w:color w:val="000000"/>
          <w:sz w:val="20"/>
          <w:szCs w:val="20"/>
        </w:rPr>
        <w:t>s</w:t>
      </w:r>
      <w:r w:rsidRPr="00C90946">
        <w:rPr>
          <w:rFonts w:ascii="Arial" w:hAnsi="Arial" w:cs="Arial"/>
          <w:b/>
          <w:color w:val="000000"/>
          <w:sz w:val="20"/>
          <w:szCs w:val="20"/>
        </w:rPr>
        <w:t xml:space="preserve"> the</w:t>
      </w:r>
      <w:r>
        <w:rPr>
          <w:rFonts w:ascii="Arial" w:hAnsi="Arial" w:cs="Arial"/>
          <w:bCs/>
          <w:color w:val="000000"/>
          <w:sz w:val="20"/>
          <w:szCs w:val="20"/>
        </w:rPr>
        <w:t xml:space="preserve"> </w:t>
      </w:r>
      <w:r w:rsidR="00BC0E82" w:rsidRPr="00BC0E82">
        <w:rPr>
          <w:rFonts w:ascii="Arial" w:hAnsi="Arial" w:cs="Arial"/>
          <w:b/>
          <w:color w:val="000000"/>
          <w:sz w:val="20"/>
          <w:szCs w:val="20"/>
        </w:rPr>
        <w:t xml:space="preserve">CMS </w:t>
      </w:r>
      <w:r>
        <w:rPr>
          <w:rFonts w:ascii="Arial" w:hAnsi="Arial" w:cs="Arial"/>
          <w:b/>
          <w:color w:val="000000"/>
          <w:sz w:val="20"/>
          <w:szCs w:val="20"/>
        </w:rPr>
        <w:t xml:space="preserve">to </w:t>
      </w:r>
      <w:r w:rsidR="00BC0E82" w:rsidRPr="00BC0E82">
        <w:rPr>
          <w:rFonts w:ascii="Arial" w:hAnsi="Arial" w:cs="Arial"/>
          <w:b/>
          <w:color w:val="000000"/>
          <w:sz w:val="20"/>
          <w:szCs w:val="20"/>
        </w:rPr>
        <w:t>implement</w:t>
      </w:r>
      <w:r w:rsidR="002E4E16">
        <w:rPr>
          <w:rFonts w:ascii="Arial" w:hAnsi="Arial" w:cs="Arial"/>
          <w:b/>
          <w:color w:val="000000"/>
          <w:sz w:val="20"/>
          <w:szCs w:val="20"/>
        </w:rPr>
        <w:t xml:space="preserve"> it</w:t>
      </w:r>
      <w:r>
        <w:rPr>
          <w:rFonts w:ascii="Arial" w:hAnsi="Arial" w:cs="Arial"/>
          <w:b/>
          <w:color w:val="000000"/>
          <w:sz w:val="20"/>
          <w:szCs w:val="20"/>
        </w:rPr>
        <w:t xml:space="preserve"> </w:t>
      </w:r>
      <w:r w:rsidR="00BC0E82" w:rsidRPr="00BC0E82">
        <w:rPr>
          <w:rFonts w:ascii="Arial" w:hAnsi="Arial" w:cs="Arial"/>
          <w:b/>
          <w:color w:val="000000"/>
          <w:sz w:val="20"/>
          <w:szCs w:val="20"/>
        </w:rPr>
        <w:t>in a budget-neutral manner</w:t>
      </w:r>
      <w:r>
        <w:rPr>
          <w:rFonts w:ascii="Arial" w:hAnsi="Arial" w:cs="Arial"/>
          <w:b/>
          <w:color w:val="000000"/>
          <w:sz w:val="20"/>
          <w:szCs w:val="20"/>
        </w:rPr>
        <w:t xml:space="preserve"> rather than </w:t>
      </w:r>
      <w:r w:rsidR="00BC0E82" w:rsidRPr="00BC0E82">
        <w:rPr>
          <w:rFonts w:ascii="Arial" w:hAnsi="Arial" w:cs="Arial"/>
          <w:b/>
          <w:color w:val="000000"/>
          <w:sz w:val="20"/>
          <w:szCs w:val="20"/>
        </w:rPr>
        <w:t xml:space="preserve">through a reduction to the </w:t>
      </w:r>
      <w:r w:rsidR="00AB633A">
        <w:rPr>
          <w:rFonts w:ascii="Arial" w:hAnsi="Arial" w:cs="Arial"/>
          <w:b/>
          <w:color w:val="000000"/>
          <w:sz w:val="20"/>
          <w:szCs w:val="20"/>
        </w:rPr>
        <w:t>outpatient conversion factor</w:t>
      </w:r>
      <w:r w:rsidR="00BC0E82" w:rsidRPr="00BC0E82">
        <w:rPr>
          <w:rFonts w:ascii="Arial" w:hAnsi="Arial" w:cs="Arial"/>
          <w:b/>
          <w:color w:val="000000"/>
          <w:sz w:val="20"/>
          <w:szCs w:val="20"/>
        </w:rPr>
        <w:t xml:space="preserve"> </w:t>
      </w:r>
      <w:r>
        <w:rPr>
          <w:rFonts w:ascii="Arial" w:hAnsi="Arial" w:cs="Arial"/>
          <w:b/>
          <w:color w:val="000000"/>
          <w:sz w:val="20"/>
          <w:szCs w:val="20"/>
        </w:rPr>
        <w:t xml:space="preserve">as proposed. </w:t>
      </w:r>
      <w:r w:rsidR="00BC0E82" w:rsidRPr="00BC0E82">
        <w:rPr>
          <w:rFonts w:ascii="Arial" w:hAnsi="Arial" w:cs="Arial"/>
          <w:b/>
          <w:color w:val="000000"/>
          <w:sz w:val="20"/>
          <w:szCs w:val="20"/>
        </w:rPr>
        <w:t xml:space="preserve">We urge the CMS to fund this policy initiative using separate and additional funds. </w:t>
      </w:r>
    </w:p>
    <w:p w14:paraId="5CF462D0" w14:textId="62C6830C" w:rsidR="00BC0E82" w:rsidRDefault="00BC0E82" w:rsidP="004A7C99">
      <w:pPr>
        <w:widowControl w:val="0"/>
        <w:autoSpaceDE w:val="0"/>
        <w:autoSpaceDN w:val="0"/>
        <w:spacing w:before="22" w:line="259" w:lineRule="auto"/>
        <w:rPr>
          <w:rFonts w:ascii="Arial" w:eastAsia="Calibri" w:hAnsi="Arial" w:cs="Arial"/>
          <w:b/>
          <w:bCs/>
          <w:smallCaps/>
          <w:sz w:val="20"/>
          <w:szCs w:val="20"/>
          <w:u w:val="single"/>
        </w:rPr>
      </w:pPr>
    </w:p>
    <w:p w14:paraId="749E4A62" w14:textId="4339E55F" w:rsidR="007C7806" w:rsidRDefault="007C7806" w:rsidP="004A7C99">
      <w:pPr>
        <w:widowControl w:val="0"/>
        <w:autoSpaceDE w:val="0"/>
        <w:autoSpaceDN w:val="0"/>
        <w:spacing w:before="22" w:line="259" w:lineRule="auto"/>
        <w:rPr>
          <w:rFonts w:ascii="Arial" w:eastAsia="Calibri" w:hAnsi="Arial" w:cs="Arial"/>
          <w:b/>
          <w:bCs/>
          <w:smallCaps/>
          <w:sz w:val="20"/>
          <w:szCs w:val="20"/>
          <w:u w:val="single"/>
        </w:rPr>
      </w:pPr>
      <w:bookmarkStart w:id="0" w:name="_Hlk112321344"/>
      <w:bookmarkStart w:id="1" w:name="_Hlk112320836"/>
      <w:r>
        <w:rPr>
          <w:rFonts w:ascii="Arial" w:eastAsia="Calibri" w:hAnsi="Arial" w:cs="Arial"/>
          <w:b/>
          <w:bCs/>
          <w:smallCaps/>
          <w:sz w:val="20"/>
          <w:szCs w:val="20"/>
          <w:u w:val="single"/>
        </w:rPr>
        <w:t>Site-Neutral clinic visit cuts</w:t>
      </w:r>
    </w:p>
    <w:bookmarkEnd w:id="0"/>
    <w:p w14:paraId="1F2142DB" w14:textId="68C24B08" w:rsidR="00524B9E" w:rsidRDefault="00524B9E" w:rsidP="004A7C99">
      <w:pPr>
        <w:widowControl w:val="0"/>
        <w:autoSpaceDE w:val="0"/>
        <w:autoSpaceDN w:val="0"/>
        <w:spacing w:before="22" w:line="259" w:lineRule="auto"/>
        <w:rPr>
          <w:rFonts w:ascii="Arial" w:eastAsia="Calibri" w:hAnsi="Arial" w:cs="Arial"/>
          <w:b/>
          <w:bCs/>
          <w:smallCaps/>
          <w:sz w:val="20"/>
          <w:szCs w:val="20"/>
          <w:u w:val="single"/>
        </w:rPr>
      </w:pPr>
    </w:p>
    <w:p w14:paraId="3B0CA549" w14:textId="77777777" w:rsidR="00125644" w:rsidRDefault="00125644" w:rsidP="00524B9E">
      <w:pPr>
        <w:rPr>
          <w:rFonts w:ascii="Arial" w:hAnsi="Arial" w:cs="Arial"/>
          <w:sz w:val="20"/>
          <w:szCs w:val="20"/>
        </w:rPr>
      </w:pPr>
      <w:r>
        <w:rPr>
          <w:rFonts w:ascii="Arial" w:hAnsi="Arial" w:cs="Arial"/>
          <w:sz w:val="20"/>
          <w:szCs w:val="20"/>
        </w:rPr>
        <w:t xml:space="preserve">Existing policy uses the physician fee schedule (PFS) to determine rates for clinic visits provided at off-campus hospital outpatient departments (HOPDs) with payments at roughly 40% of the OPPS rate, also known as the site-neutral clinic visit policy. </w:t>
      </w:r>
      <w:r w:rsidR="00524B9E" w:rsidRPr="00524B9E">
        <w:rPr>
          <w:rFonts w:ascii="Arial" w:hAnsi="Arial" w:cs="Arial"/>
          <w:sz w:val="20"/>
          <w:szCs w:val="20"/>
        </w:rPr>
        <w:t xml:space="preserve">The CMS </w:t>
      </w:r>
      <w:r w:rsidR="00524B9E">
        <w:rPr>
          <w:rFonts w:ascii="Arial" w:hAnsi="Arial" w:cs="Arial"/>
          <w:sz w:val="20"/>
          <w:szCs w:val="20"/>
        </w:rPr>
        <w:t xml:space="preserve">proposes to exempt rural sole community hospitals from the </w:t>
      </w:r>
      <w:r>
        <w:rPr>
          <w:rFonts w:ascii="Arial" w:hAnsi="Arial" w:cs="Arial"/>
          <w:sz w:val="20"/>
          <w:szCs w:val="20"/>
        </w:rPr>
        <w:t xml:space="preserve">site-neutral </w:t>
      </w:r>
      <w:r w:rsidR="00524B9E">
        <w:rPr>
          <w:rFonts w:ascii="Arial" w:hAnsi="Arial" w:cs="Arial"/>
          <w:sz w:val="20"/>
          <w:szCs w:val="20"/>
        </w:rPr>
        <w:t xml:space="preserve">clinic visit payment </w:t>
      </w:r>
      <w:r>
        <w:rPr>
          <w:rFonts w:ascii="Arial" w:hAnsi="Arial" w:cs="Arial"/>
          <w:sz w:val="20"/>
          <w:szCs w:val="20"/>
        </w:rPr>
        <w:t>policy by paying these services at the full OPPS rate for clinic visits</w:t>
      </w:r>
      <w:r w:rsidR="00524B9E">
        <w:rPr>
          <w:rFonts w:ascii="Arial" w:hAnsi="Arial" w:cs="Arial"/>
          <w:sz w:val="20"/>
          <w:szCs w:val="20"/>
        </w:rPr>
        <w:t xml:space="preserve"> provided in a grandfathered off-campus HOPD of the rural SCH. </w:t>
      </w:r>
      <w:r>
        <w:rPr>
          <w:rFonts w:ascii="Arial" w:hAnsi="Arial" w:cs="Arial"/>
          <w:sz w:val="20"/>
          <w:szCs w:val="20"/>
        </w:rPr>
        <w:t xml:space="preserve">The CMS is soliciting comments on applicability to other rural hospitals, such as those under 100 beds. </w:t>
      </w:r>
    </w:p>
    <w:p w14:paraId="47099AA6" w14:textId="77777777" w:rsidR="00125644" w:rsidRDefault="00125644" w:rsidP="00524B9E">
      <w:pPr>
        <w:rPr>
          <w:rFonts w:ascii="Arial" w:hAnsi="Arial" w:cs="Arial"/>
          <w:sz w:val="20"/>
          <w:szCs w:val="20"/>
        </w:rPr>
      </w:pPr>
    </w:p>
    <w:p w14:paraId="00C56CF1" w14:textId="3ED0E048" w:rsidR="00524B9E" w:rsidRPr="00524B9E" w:rsidRDefault="00125644" w:rsidP="00524B9E">
      <w:pPr>
        <w:rPr>
          <w:rFonts w:ascii="Arial" w:hAnsi="Arial" w:cs="Arial"/>
          <w:sz w:val="20"/>
          <w:szCs w:val="20"/>
        </w:rPr>
      </w:pPr>
      <w:r>
        <w:rPr>
          <w:rFonts w:ascii="Arial" w:hAnsi="Arial" w:cs="Arial"/>
          <w:sz w:val="20"/>
          <w:szCs w:val="20"/>
        </w:rPr>
        <w:t>The MHA</w:t>
      </w:r>
      <w:r w:rsidR="00524B9E">
        <w:rPr>
          <w:rFonts w:ascii="Arial" w:hAnsi="Arial" w:cs="Arial"/>
          <w:sz w:val="20"/>
          <w:szCs w:val="20"/>
        </w:rPr>
        <w:t xml:space="preserve"> appreciate</w:t>
      </w:r>
      <w:r>
        <w:rPr>
          <w:rFonts w:ascii="Arial" w:hAnsi="Arial" w:cs="Arial"/>
          <w:sz w:val="20"/>
          <w:szCs w:val="20"/>
        </w:rPr>
        <w:t>s</w:t>
      </w:r>
      <w:r w:rsidR="00524B9E">
        <w:rPr>
          <w:rFonts w:ascii="Arial" w:hAnsi="Arial" w:cs="Arial"/>
          <w:sz w:val="20"/>
          <w:szCs w:val="20"/>
        </w:rPr>
        <w:t xml:space="preserve"> that this proposal would restore payments to </w:t>
      </w:r>
      <w:r w:rsidR="002E7479">
        <w:rPr>
          <w:rFonts w:ascii="Arial" w:hAnsi="Arial" w:cs="Arial"/>
          <w:sz w:val="20"/>
          <w:szCs w:val="20"/>
        </w:rPr>
        <w:t>100% of the</w:t>
      </w:r>
      <w:r w:rsidR="00524B9E">
        <w:rPr>
          <w:rFonts w:ascii="Arial" w:hAnsi="Arial" w:cs="Arial"/>
          <w:sz w:val="20"/>
          <w:szCs w:val="20"/>
        </w:rPr>
        <w:t xml:space="preserve"> OPPS rate</w:t>
      </w:r>
      <w:r w:rsidR="00A34E47">
        <w:rPr>
          <w:rFonts w:ascii="Arial" w:hAnsi="Arial" w:cs="Arial"/>
          <w:sz w:val="20"/>
          <w:szCs w:val="20"/>
        </w:rPr>
        <w:t xml:space="preserve"> for certain rural hospitals</w:t>
      </w:r>
      <w:r w:rsidR="00524B9E">
        <w:rPr>
          <w:rFonts w:ascii="Arial" w:hAnsi="Arial" w:cs="Arial"/>
          <w:sz w:val="20"/>
          <w:szCs w:val="20"/>
        </w:rPr>
        <w:t xml:space="preserve">. </w:t>
      </w:r>
      <w:r w:rsidR="00524B9E" w:rsidRPr="00FD68F7">
        <w:rPr>
          <w:rFonts w:ascii="Arial" w:hAnsi="Arial" w:cs="Arial"/>
          <w:b/>
          <w:bCs/>
          <w:sz w:val="20"/>
          <w:szCs w:val="20"/>
        </w:rPr>
        <w:t xml:space="preserve">However, </w:t>
      </w:r>
      <w:r w:rsidR="002E7479">
        <w:rPr>
          <w:rFonts w:ascii="Arial" w:hAnsi="Arial" w:cs="Arial"/>
          <w:b/>
          <w:bCs/>
          <w:sz w:val="20"/>
          <w:szCs w:val="20"/>
        </w:rPr>
        <w:t>we</w:t>
      </w:r>
      <w:r w:rsidR="00524B9E" w:rsidRPr="00FD68F7">
        <w:rPr>
          <w:rFonts w:ascii="Arial" w:hAnsi="Arial" w:cs="Arial"/>
          <w:b/>
          <w:bCs/>
          <w:sz w:val="20"/>
          <w:szCs w:val="20"/>
        </w:rPr>
        <w:t xml:space="preserve"> continue to urge the CMS to reverse the clinic visit cut policy all together and restore full OPPS payment for hospital outpatient clinic visits </w:t>
      </w:r>
      <w:r w:rsidR="002E7479">
        <w:rPr>
          <w:rFonts w:ascii="Arial" w:hAnsi="Arial" w:cs="Arial"/>
          <w:b/>
          <w:bCs/>
          <w:sz w:val="20"/>
          <w:szCs w:val="20"/>
        </w:rPr>
        <w:t xml:space="preserve">provided </w:t>
      </w:r>
      <w:r w:rsidR="00524B9E" w:rsidRPr="00FD68F7">
        <w:rPr>
          <w:rFonts w:ascii="Arial" w:hAnsi="Arial" w:cs="Arial"/>
          <w:b/>
          <w:bCs/>
          <w:sz w:val="20"/>
          <w:szCs w:val="20"/>
        </w:rPr>
        <w:t>in grandfathered off-campus HOPDs</w:t>
      </w:r>
      <w:r w:rsidR="00524B9E">
        <w:rPr>
          <w:rFonts w:ascii="Arial" w:hAnsi="Arial" w:cs="Arial"/>
          <w:sz w:val="20"/>
          <w:szCs w:val="20"/>
        </w:rPr>
        <w:t xml:space="preserve">. Nevertheless, the MHA supports the CMS proposal to exempt rural SCHs and urge the CMS to expand it to other hospitals including rural hospitals with 100 or fewer beds, urban SCHs where access to care is also challenging, </w:t>
      </w:r>
      <w:r w:rsidR="00F451A8">
        <w:rPr>
          <w:rFonts w:ascii="Arial" w:hAnsi="Arial" w:cs="Arial"/>
          <w:sz w:val="20"/>
          <w:szCs w:val="20"/>
        </w:rPr>
        <w:t>essential access community hospitals (</w:t>
      </w:r>
      <w:r w:rsidR="00524B9E">
        <w:rPr>
          <w:rFonts w:ascii="Arial" w:hAnsi="Arial" w:cs="Arial"/>
          <w:sz w:val="20"/>
          <w:szCs w:val="20"/>
        </w:rPr>
        <w:t>EACHs</w:t>
      </w:r>
      <w:r w:rsidR="00F451A8">
        <w:rPr>
          <w:rFonts w:ascii="Arial" w:hAnsi="Arial" w:cs="Arial"/>
          <w:sz w:val="20"/>
          <w:szCs w:val="20"/>
        </w:rPr>
        <w:t>)</w:t>
      </w:r>
      <w:r w:rsidR="00524B9E">
        <w:rPr>
          <w:rFonts w:ascii="Arial" w:hAnsi="Arial" w:cs="Arial"/>
          <w:sz w:val="20"/>
          <w:szCs w:val="20"/>
        </w:rPr>
        <w:t xml:space="preserve">, and hospitals </w:t>
      </w:r>
      <w:r w:rsidR="00A34E47">
        <w:rPr>
          <w:rFonts w:ascii="Arial" w:hAnsi="Arial" w:cs="Arial"/>
          <w:sz w:val="20"/>
          <w:szCs w:val="20"/>
        </w:rPr>
        <w:t xml:space="preserve">located </w:t>
      </w:r>
      <w:r w:rsidR="00524B9E">
        <w:rPr>
          <w:rFonts w:ascii="Arial" w:hAnsi="Arial" w:cs="Arial"/>
          <w:sz w:val="20"/>
          <w:szCs w:val="20"/>
        </w:rPr>
        <w:t xml:space="preserve">in </w:t>
      </w:r>
      <w:r w:rsidR="00AB633A">
        <w:rPr>
          <w:rFonts w:ascii="Arial" w:hAnsi="Arial" w:cs="Arial"/>
          <w:sz w:val="20"/>
          <w:szCs w:val="20"/>
        </w:rPr>
        <w:t>health professional shortage areas</w:t>
      </w:r>
      <w:r w:rsidR="00524B9E">
        <w:rPr>
          <w:rFonts w:ascii="Arial" w:hAnsi="Arial" w:cs="Arial"/>
          <w:sz w:val="20"/>
          <w:szCs w:val="20"/>
        </w:rPr>
        <w:t xml:space="preserve">. </w:t>
      </w:r>
    </w:p>
    <w:bookmarkEnd w:id="1"/>
    <w:p w14:paraId="5EBE4717" w14:textId="77777777" w:rsidR="005633C1" w:rsidRPr="005633C1" w:rsidRDefault="005633C1" w:rsidP="005633C1">
      <w:pPr>
        <w:pStyle w:val="Default"/>
        <w:rPr>
          <w:rFonts w:ascii="Arial" w:hAnsi="Arial" w:cs="Arial"/>
          <w:sz w:val="20"/>
          <w:szCs w:val="20"/>
        </w:rPr>
      </w:pPr>
    </w:p>
    <w:p w14:paraId="28D7CAB3" w14:textId="0FC3612B" w:rsidR="002E52F8" w:rsidRDefault="002E52F8" w:rsidP="002E52F8">
      <w:pPr>
        <w:widowControl w:val="0"/>
        <w:autoSpaceDE w:val="0"/>
        <w:autoSpaceDN w:val="0"/>
        <w:spacing w:before="22" w:line="259" w:lineRule="auto"/>
        <w:rPr>
          <w:rFonts w:ascii="Arial" w:eastAsia="Calibri" w:hAnsi="Arial" w:cs="Arial"/>
          <w:b/>
          <w:bCs/>
          <w:smallCaps/>
          <w:sz w:val="20"/>
          <w:szCs w:val="20"/>
          <w:u w:val="single"/>
        </w:rPr>
      </w:pPr>
      <w:r>
        <w:rPr>
          <w:rFonts w:ascii="Arial" w:eastAsia="Calibri" w:hAnsi="Arial" w:cs="Arial"/>
          <w:b/>
          <w:bCs/>
          <w:smallCaps/>
          <w:sz w:val="20"/>
          <w:szCs w:val="20"/>
          <w:u w:val="single"/>
        </w:rPr>
        <w:t>outlier payments</w:t>
      </w:r>
    </w:p>
    <w:p w14:paraId="25BB7A62" w14:textId="6D95DC66" w:rsidR="002E52F8" w:rsidRDefault="002E52F8" w:rsidP="00A81F9B">
      <w:pPr>
        <w:widowControl w:val="0"/>
        <w:autoSpaceDE w:val="0"/>
        <w:autoSpaceDN w:val="0"/>
        <w:spacing w:before="22" w:line="259" w:lineRule="auto"/>
        <w:rPr>
          <w:rFonts w:ascii="Arial" w:eastAsia="Calibri" w:hAnsi="Arial" w:cs="Arial"/>
          <w:b/>
          <w:bCs/>
          <w:smallCaps/>
          <w:sz w:val="20"/>
          <w:szCs w:val="20"/>
          <w:u w:val="single"/>
        </w:rPr>
      </w:pPr>
    </w:p>
    <w:p w14:paraId="2EA3FFDD" w14:textId="370D8CDD" w:rsidR="00643F16" w:rsidRPr="004616FA" w:rsidRDefault="002E52F8" w:rsidP="002E52F8">
      <w:pPr>
        <w:rPr>
          <w:rFonts w:ascii="Arial" w:hAnsi="Arial" w:cs="Arial"/>
          <w:b/>
          <w:bCs/>
          <w:sz w:val="20"/>
          <w:szCs w:val="20"/>
        </w:rPr>
      </w:pPr>
      <w:r w:rsidRPr="002E52F8">
        <w:rPr>
          <w:rFonts w:ascii="Arial" w:hAnsi="Arial" w:cs="Arial"/>
          <w:sz w:val="20"/>
          <w:szCs w:val="20"/>
        </w:rPr>
        <w:t xml:space="preserve">The </w:t>
      </w:r>
      <w:r>
        <w:rPr>
          <w:rFonts w:ascii="Arial" w:hAnsi="Arial" w:cs="Arial"/>
          <w:sz w:val="20"/>
          <w:szCs w:val="20"/>
        </w:rPr>
        <w:t xml:space="preserve">CMS proposes to increase the </w:t>
      </w:r>
      <w:r w:rsidR="003852FD">
        <w:rPr>
          <w:rFonts w:ascii="Arial" w:hAnsi="Arial" w:cs="Arial"/>
          <w:sz w:val="20"/>
          <w:szCs w:val="20"/>
        </w:rPr>
        <w:t xml:space="preserve">outlier </w:t>
      </w:r>
      <w:r>
        <w:rPr>
          <w:rFonts w:ascii="Arial" w:hAnsi="Arial" w:cs="Arial"/>
          <w:sz w:val="20"/>
          <w:szCs w:val="20"/>
        </w:rPr>
        <w:t xml:space="preserve">fixed-dollar threshold to $8,350 in 2023, </w:t>
      </w:r>
      <w:r w:rsidR="004616FA">
        <w:rPr>
          <w:rFonts w:ascii="Arial" w:hAnsi="Arial" w:cs="Arial"/>
          <w:sz w:val="20"/>
          <w:szCs w:val="20"/>
        </w:rPr>
        <w:t xml:space="preserve">a </w:t>
      </w:r>
      <w:r>
        <w:rPr>
          <w:rFonts w:ascii="Arial" w:hAnsi="Arial" w:cs="Arial"/>
          <w:sz w:val="20"/>
          <w:szCs w:val="20"/>
        </w:rPr>
        <w:t xml:space="preserve">35% increase from the current $6,175 threshold. </w:t>
      </w:r>
      <w:r w:rsidR="004616FA">
        <w:rPr>
          <w:rFonts w:ascii="Arial" w:hAnsi="Arial" w:cs="Arial"/>
          <w:sz w:val="20"/>
          <w:szCs w:val="20"/>
        </w:rPr>
        <w:t>Outlier payments are proposed to continue to be paid at 50% of the amount by which the hospital’s cost exceeds 1.75 times the ambulatory payment classification (APC) payment amount when both the 1.75 multiplier threshold and the fix</w:t>
      </w:r>
      <w:r w:rsidR="00F335BF">
        <w:rPr>
          <w:rFonts w:ascii="Arial" w:hAnsi="Arial" w:cs="Arial"/>
          <w:sz w:val="20"/>
          <w:szCs w:val="20"/>
        </w:rPr>
        <w:t>ed</w:t>
      </w:r>
      <w:r w:rsidR="004616FA">
        <w:rPr>
          <w:rFonts w:ascii="Arial" w:hAnsi="Arial" w:cs="Arial"/>
          <w:sz w:val="20"/>
          <w:szCs w:val="20"/>
        </w:rPr>
        <w:t xml:space="preserve">-dollar threshold are met. </w:t>
      </w:r>
      <w:r>
        <w:rPr>
          <w:rFonts w:ascii="Arial" w:hAnsi="Arial" w:cs="Arial"/>
          <w:sz w:val="20"/>
          <w:szCs w:val="20"/>
        </w:rPr>
        <w:t>This increase will result in a significant decrease in outlier payments</w:t>
      </w:r>
      <w:r w:rsidR="00186A0F">
        <w:rPr>
          <w:rFonts w:ascii="Arial" w:hAnsi="Arial" w:cs="Arial"/>
          <w:sz w:val="20"/>
          <w:szCs w:val="20"/>
        </w:rPr>
        <w:t xml:space="preserve"> to hospitals for treating high-cost patients</w:t>
      </w:r>
      <w:r>
        <w:rPr>
          <w:rFonts w:ascii="Arial" w:hAnsi="Arial" w:cs="Arial"/>
          <w:sz w:val="20"/>
          <w:szCs w:val="20"/>
        </w:rPr>
        <w:t>.</w:t>
      </w:r>
      <w:r w:rsidR="00186A0F">
        <w:rPr>
          <w:rFonts w:ascii="Arial" w:hAnsi="Arial" w:cs="Arial"/>
          <w:sz w:val="20"/>
          <w:szCs w:val="20"/>
        </w:rPr>
        <w:t xml:space="preserve"> </w:t>
      </w:r>
      <w:r w:rsidRPr="004616FA">
        <w:rPr>
          <w:rFonts w:ascii="Arial" w:hAnsi="Arial" w:cs="Arial"/>
          <w:b/>
          <w:bCs/>
          <w:sz w:val="20"/>
          <w:szCs w:val="20"/>
        </w:rPr>
        <w:t xml:space="preserve">The MHA is concerned about the scale of the proposed </w:t>
      </w:r>
      <w:r w:rsidR="003852FD" w:rsidRPr="004616FA">
        <w:rPr>
          <w:rFonts w:ascii="Arial" w:hAnsi="Arial" w:cs="Arial"/>
          <w:b/>
          <w:bCs/>
          <w:sz w:val="20"/>
          <w:szCs w:val="20"/>
        </w:rPr>
        <w:t xml:space="preserve">threshold </w:t>
      </w:r>
      <w:r w:rsidRPr="004616FA">
        <w:rPr>
          <w:rFonts w:ascii="Arial" w:hAnsi="Arial" w:cs="Arial"/>
          <w:b/>
          <w:bCs/>
          <w:sz w:val="20"/>
          <w:szCs w:val="20"/>
        </w:rPr>
        <w:t>increase and urge</w:t>
      </w:r>
      <w:r w:rsidR="004616FA" w:rsidRPr="004616FA">
        <w:rPr>
          <w:rFonts w:ascii="Arial" w:hAnsi="Arial" w:cs="Arial"/>
          <w:b/>
          <w:bCs/>
          <w:sz w:val="20"/>
          <w:szCs w:val="20"/>
        </w:rPr>
        <w:t>s</w:t>
      </w:r>
      <w:r w:rsidRPr="004616FA">
        <w:rPr>
          <w:rFonts w:ascii="Arial" w:hAnsi="Arial" w:cs="Arial"/>
          <w:b/>
          <w:bCs/>
          <w:sz w:val="20"/>
          <w:szCs w:val="20"/>
        </w:rPr>
        <w:t xml:space="preserve"> the CMS to examine its methodology more closely and consider making additional, temporary changes to help mitigate this significant increase</w:t>
      </w:r>
      <w:r w:rsidR="003852FD" w:rsidRPr="004616FA">
        <w:rPr>
          <w:rFonts w:ascii="Arial" w:hAnsi="Arial" w:cs="Arial"/>
          <w:b/>
          <w:bCs/>
          <w:sz w:val="20"/>
          <w:szCs w:val="20"/>
        </w:rPr>
        <w:t xml:space="preserve"> and the negative impact on hospitals</w:t>
      </w:r>
      <w:r w:rsidR="00643F16" w:rsidRPr="004616FA">
        <w:rPr>
          <w:rFonts w:ascii="Arial" w:hAnsi="Arial" w:cs="Arial"/>
          <w:b/>
          <w:bCs/>
          <w:sz w:val="20"/>
          <w:szCs w:val="20"/>
        </w:rPr>
        <w:t>.</w:t>
      </w:r>
    </w:p>
    <w:p w14:paraId="3E6A6584" w14:textId="77777777" w:rsidR="00643F16" w:rsidRDefault="00643F16" w:rsidP="002E52F8">
      <w:pPr>
        <w:rPr>
          <w:rFonts w:ascii="Arial" w:hAnsi="Arial" w:cs="Arial"/>
          <w:sz w:val="20"/>
          <w:szCs w:val="20"/>
        </w:rPr>
      </w:pPr>
    </w:p>
    <w:p w14:paraId="36A72BB0" w14:textId="696196C6" w:rsidR="00643F16" w:rsidRDefault="002E52F8" w:rsidP="00643F16">
      <w:pPr>
        <w:widowControl w:val="0"/>
        <w:autoSpaceDE w:val="0"/>
        <w:autoSpaceDN w:val="0"/>
        <w:spacing w:before="22" w:line="259" w:lineRule="auto"/>
        <w:rPr>
          <w:rFonts w:ascii="Arial" w:eastAsia="Calibri" w:hAnsi="Arial" w:cs="Arial"/>
          <w:b/>
          <w:bCs/>
          <w:smallCaps/>
          <w:sz w:val="20"/>
          <w:szCs w:val="20"/>
          <w:u w:val="single"/>
        </w:rPr>
      </w:pPr>
      <w:bookmarkStart w:id="2" w:name="_Hlk112326806"/>
      <w:r>
        <w:rPr>
          <w:rFonts w:ascii="Arial" w:hAnsi="Arial" w:cs="Arial"/>
          <w:sz w:val="20"/>
          <w:szCs w:val="20"/>
        </w:rPr>
        <w:t xml:space="preserve"> </w:t>
      </w:r>
      <w:r w:rsidR="00643F16">
        <w:rPr>
          <w:rFonts w:ascii="Arial" w:eastAsia="Calibri" w:hAnsi="Arial" w:cs="Arial"/>
          <w:b/>
          <w:bCs/>
          <w:smallCaps/>
          <w:sz w:val="20"/>
          <w:szCs w:val="20"/>
          <w:u w:val="single"/>
        </w:rPr>
        <w:t>Proposed Reporting for Certain Single-</w:t>
      </w:r>
      <w:r w:rsidR="008C39DA">
        <w:rPr>
          <w:rFonts w:ascii="Arial" w:eastAsia="Calibri" w:hAnsi="Arial" w:cs="Arial"/>
          <w:b/>
          <w:bCs/>
          <w:smallCaps/>
          <w:sz w:val="20"/>
          <w:szCs w:val="20"/>
          <w:u w:val="single"/>
        </w:rPr>
        <w:t>Dose</w:t>
      </w:r>
      <w:r w:rsidR="00643F16">
        <w:rPr>
          <w:rFonts w:ascii="Arial" w:eastAsia="Calibri" w:hAnsi="Arial" w:cs="Arial"/>
          <w:b/>
          <w:bCs/>
          <w:smallCaps/>
          <w:sz w:val="20"/>
          <w:szCs w:val="20"/>
          <w:u w:val="single"/>
        </w:rPr>
        <w:t xml:space="preserve">/Single </w:t>
      </w:r>
      <w:r w:rsidR="008C39DA">
        <w:rPr>
          <w:rFonts w:ascii="Arial" w:eastAsia="Calibri" w:hAnsi="Arial" w:cs="Arial"/>
          <w:b/>
          <w:bCs/>
          <w:smallCaps/>
          <w:sz w:val="20"/>
          <w:szCs w:val="20"/>
          <w:u w:val="single"/>
        </w:rPr>
        <w:t>Use</w:t>
      </w:r>
      <w:r w:rsidR="00643F16">
        <w:rPr>
          <w:rFonts w:ascii="Arial" w:eastAsia="Calibri" w:hAnsi="Arial" w:cs="Arial"/>
          <w:b/>
          <w:bCs/>
          <w:smallCaps/>
          <w:sz w:val="20"/>
          <w:szCs w:val="20"/>
          <w:u w:val="single"/>
        </w:rPr>
        <w:t xml:space="preserve"> Drugs</w:t>
      </w:r>
    </w:p>
    <w:bookmarkEnd w:id="2"/>
    <w:p w14:paraId="29352539" w14:textId="313D55D7" w:rsidR="002E52F8" w:rsidRDefault="002E52F8" w:rsidP="002E52F8">
      <w:pPr>
        <w:rPr>
          <w:rFonts w:ascii="Arial" w:hAnsi="Arial" w:cs="Arial"/>
          <w:sz w:val="20"/>
          <w:szCs w:val="20"/>
        </w:rPr>
      </w:pPr>
    </w:p>
    <w:p w14:paraId="1912F738" w14:textId="6FF5A28A" w:rsidR="00643F16" w:rsidRDefault="00643F16" w:rsidP="002E52F8">
      <w:pPr>
        <w:rPr>
          <w:rFonts w:ascii="Arial" w:hAnsi="Arial" w:cs="Arial"/>
          <w:sz w:val="20"/>
          <w:szCs w:val="20"/>
        </w:rPr>
      </w:pPr>
      <w:r>
        <w:rPr>
          <w:rFonts w:ascii="Arial" w:hAnsi="Arial" w:cs="Arial"/>
          <w:sz w:val="20"/>
          <w:szCs w:val="20"/>
        </w:rPr>
        <w:t>The Infrastructure Investment and Jobs Act requires drug manufacturers to provide a refund to the CMS for certain discarded amounts from a single-dose container or single-use package Medicare Part B drugs. The CMS proposes that physician offices, HOPDs and ambulatory surgical centers (ASCs) report:</w:t>
      </w:r>
    </w:p>
    <w:p w14:paraId="3D698E1B" w14:textId="77777777" w:rsidR="001E254D" w:rsidRDefault="001E254D" w:rsidP="002E52F8">
      <w:pPr>
        <w:rPr>
          <w:rFonts w:ascii="Arial" w:hAnsi="Arial" w:cs="Arial"/>
          <w:sz w:val="20"/>
          <w:szCs w:val="20"/>
        </w:rPr>
      </w:pPr>
    </w:p>
    <w:p w14:paraId="6B920C40" w14:textId="39689AB0" w:rsidR="00643F16" w:rsidRPr="00643F16" w:rsidRDefault="00643F16" w:rsidP="00643F16">
      <w:pPr>
        <w:pStyle w:val="ListParagraph"/>
        <w:numPr>
          <w:ilvl w:val="0"/>
          <w:numId w:val="33"/>
        </w:numPr>
        <w:rPr>
          <w:rFonts w:ascii="Arial" w:hAnsi="Arial" w:cs="Arial"/>
          <w:sz w:val="20"/>
          <w:szCs w:val="20"/>
        </w:rPr>
      </w:pPr>
      <w:r w:rsidRPr="00643F16">
        <w:rPr>
          <w:rFonts w:ascii="Arial" w:hAnsi="Arial" w:cs="Arial"/>
          <w:sz w:val="20"/>
          <w:szCs w:val="20"/>
        </w:rPr>
        <w:t xml:space="preserve">JW modifier to identify discarded amounts of these refundable drugs/biologicals that are separately payable under the OPPS or ASC payment system. This modifier has not been required since 2017. </w:t>
      </w:r>
    </w:p>
    <w:p w14:paraId="7D0335E3" w14:textId="7185AD68" w:rsidR="00643F16" w:rsidRDefault="00643F16" w:rsidP="00643F16">
      <w:pPr>
        <w:pStyle w:val="ListParagraph"/>
        <w:numPr>
          <w:ilvl w:val="0"/>
          <w:numId w:val="33"/>
        </w:numPr>
        <w:rPr>
          <w:rFonts w:ascii="Arial" w:hAnsi="Arial" w:cs="Arial"/>
          <w:sz w:val="20"/>
          <w:szCs w:val="20"/>
        </w:rPr>
      </w:pPr>
      <w:r w:rsidRPr="00643F16">
        <w:rPr>
          <w:rFonts w:ascii="Arial" w:hAnsi="Arial" w:cs="Arial"/>
          <w:sz w:val="20"/>
          <w:szCs w:val="20"/>
        </w:rPr>
        <w:t xml:space="preserve">A new modifier, JZ, in cases where no billing units of single-dost/sing-use container drugs/biologicals were discarded. </w:t>
      </w:r>
    </w:p>
    <w:p w14:paraId="305A6C4A" w14:textId="16355A00" w:rsidR="00643F16" w:rsidRDefault="00643F16" w:rsidP="00643F16">
      <w:pPr>
        <w:rPr>
          <w:rFonts w:ascii="Arial" w:hAnsi="Arial" w:cs="Arial"/>
          <w:b/>
          <w:bCs/>
          <w:sz w:val="20"/>
          <w:szCs w:val="20"/>
        </w:rPr>
      </w:pPr>
      <w:r w:rsidRPr="00A40F63">
        <w:rPr>
          <w:rFonts w:ascii="Arial" w:hAnsi="Arial" w:cs="Arial"/>
          <w:b/>
          <w:bCs/>
          <w:sz w:val="20"/>
          <w:szCs w:val="20"/>
        </w:rPr>
        <w:lastRenderedPageBreak/>
        <w:t xml:space="preserve">The MHA opposes the use of the </w:t>
      </w:r>
      <w:r w:rsidR="00A212DB">
        <w:rPr>
          <w:rFonts w:ascii="Arial" w:hAnsi="Arial" w:cs="Arial"/>
          <w:b/>
          <w:bCs/>
          <w:sz w:val="20"/>
          <w:szCs w:val="20"/>
        </w:rPr>
        <w:t xml:space="preserve">new </w:t>
      </w:r>
      <w:r w:rsidRPr="00A40F63">
        <w:rPr>
          <w:rFonts w:ascii="Arial" w:hAnsi="Arial" w:cs="Arial"/>
          <w:b/>
          <w:bCs/>
          <w:sz w:val="20"/>
          <w:szCs w:val="20"/>
        </w:rPr>
        <w:t xml:space="preserve">modifier JZ </w:t>
      </w:r>
      <w:r w:rsidR="00A40F63" w:rsidRPr="00A40F63">
        <w:rPr>
          <w:rFonts w:ascii="Arial" w:hAnsi="Arial" w:cs="Arial"/>
          <w:b/>
          <w:bCs/>
          <w:sz w:val="20"/>
          <w:szCs w:val="20"/>
        </w:rPr>
        <w:t xml:space="preserve">due to its redundancy and </w:t>
      </w:r>
      <w:r w:rsidR="00A212DB">
        <w:rPr>
          <w:rFonts w:ascii="Arial" w:hAnsi="Arial" w:cs="Arial"/>
          <w:b/>
          <w:bCs/>
          <w:sz w:val="20"/>
          <w:szCs w:val="20"/>
        </w:rPr>
        <w:t xml:space="preserve">administrative </w:t>
      </w:r>
      <w:r w:rsidR="00A40F63" w:rsidRPr="00A40F63">
        <w:rPr>
          <w:rFonts w:ascii="Arial" w:hAnsi="Arial" w:cs="Arial"/>
          <w:b/>
          <w:bCs/>
          <w:sz w:val="20"/>
          <w:szCs w:val="20"/>
        </w:rPr>
        <w:t>burden</w:t>
      </w:r>
      <w:r w:rsidR="00A212DB">
        <w:rPr>
          <w:rFonts w:ascii="Arial" w:hAnsi="Arial" w:cs="Arial"/>
          <w:b/>
          <w:bCs/>
          <w:sz w:val="20"/>
          <w:szCs w:val="20"/>
        </w:rPr>
        <w:t xml:space="preserve"> on providers</w:t>
      </w:r>
      <w:r w:rsidR="00A40F63" w:rsidRPr="00A40F63">
        <w:rPr>
          <w:rFonts w:ascii="Arial" w:hAnsi="Arial" w:cs="Arial"/>
          <w:b/>
          <w:bCs/>
          <w:sz w:val="20"/>
          <w:szCs w:val="20"/>
        </w:rPr>
        <w:t>. Instead, the MHA, along with the American Hospital Association and others</w:t>
      </w:r>
      <w:r w:rsidR="00A212DB">
        <w:rPr>
          <w:rFonts w:ascii="Arial" w:hAnsi="Arial" w:cs="Arial"/>
          <w:b/>
          <w:bCs/>
          <w:sz w:val="20"/>
          <w:szCs w:val="20"/>
        </w:rPr>
        <w:t>,</w:t>
      </w:r>
      <w:r w:rsidR="00A40F63" w:rsidRPr="00A40F63">
        <w:rPr>
          <w:rFonts w:ascii="Arial" w:hAnsi="Arial" w:cs="Arial"/>
          <w:b/>
          <w:bCs/>
          <w:sz w:val="20"/>
          <w:szCs w:val="20"/>
        </w:rPr>
        <w:t xml:space="preserve"> urge the CMS to educate providers regarding proper reporting of the JW modifier. </w:t>
      </w:r>
    </w:p>
    <w:p w14:paraId="17CA6FBE" w14:textId="4C2D9946" w:rsidR="008C39DA" w:rsidRDefault="008C39DA" w:rsidP="00643F16">
      <w:pPr>
        <w:rPr>
          <w:rFonts w:ascii="Arial" w:hAnsi="Arial" w:cs="Arial"/>
          <w:b/>
          <w:bCs/>
          <w:sz w:val="20"/>
          <w:szCs w:val="20"/>
        </w:rPr>
      </w:pPr>
    </w:p>
    <w:p w14:paraId="5D82B43B" w14:textId="47491663" w:rsidR="008C39DA" w:rsidRDefault="008C39DA" w:rsidP="008C39DA">
      <w:pPr>
        <w:widowControl w:val="0"/>
        <w:autoSpaceDE w:val="0"/>
        <w:autoSpaceDN w:val="0"/>
        <w:spacing w:before="22" w:line="259" w:lineRule="auto"/>
        <w:rPr>
          <w:rFonts w:ascii="Arial" w:eastAsia="Calibri" w:hAnsi="Arial" w:cs="Arial"/>
          <w:b/>
          <w:bCs/>
          <w:smallCaps/>
          <w:sz w:val="20"/>
          <w:szCs w:val="20"/>
          <w:u w:val="single"/>
        </w:rPr>
      </w:pPr>
      <w:r>
        <w:rPr>
          <w:rFonts w:ascii="Arial" w:eastAsia="Calibri" w:hAnsi="Arial" w:cs="Arial"/>
          <w:b/>
          <w:bCs/>
          <w:smallCaps/>
          <w:sz w:val="20"/>
          <w:szCs w:val="20"/>
          <w:u w:val="single"/>
        </w:rPr>
        <w:t>Prior Authorization</w:t>
      </w:r>
    </w:p>
    <w:p w14:paraId="59EC9F57" w14:textId="77777777" w:rsidR="00AB633A" w:rsidRDefault="00AB633A" w:rsidP="008C39DA">
      <w:pPr>
        <w:widowControl w:val="0"/>
        <w:autoSpaceDE w:val="0"/>
        <w:autoSpaceDN w:val="0"/>
        <w:spacing w:before="22" w:line="259" w:lineRule="auto"/>
        <w:rPr>
          <w:rFonts w:ascii="Arial" w:eastAsia="Calibri" w:hAnsi="Arial" w:cs="Arial"/>
          <w:b/>
          <w:bCs/>
          <w:smallCaps/>
          <w:sz w:val="20"/>
          <w:szCs w:val="20"/>
          <w:u w:val="single"/>
        </w:rPr>
      </w:pPr>
    </w:p>
    <w:p w14:paraId="0DF937F7" w14:textId="2A944FBA" w:rsidR="0059793D" w:rsidRDefault="00D371D3" w:rsidP="008C39DA">
      <w:pPr>
        <w:widowControl w:val="0"/>
        <w:autoSpaceDE w:val="0"/>
        <w:autoSpaceDN w:val="0"/>
        <w:spacing w:before="22" w:line="259" w:lineRule="auto"/>
        <w:rPr>
          <w:rFonts w:ascii="Arial" w:hAnsi="Arial" w:cs="Arial"/>
          <w:sz w:val="20"/>
          <w:szCs w:val="20"/>
        </w:rPr>
      </w:pPr>
      <w:r>
        <w:rPr>
          <w:rFonts w:ascii="Arial" w:hAnsi="Arial" w:cs="Arial"/>
          <w:sz w:val="20"/>
          <w:szCs w:val="20"/>
        </w:rPr>
        <w:t xml:space="preserve">The CMS currently requires prior authorization (PA) for seven service categories with the agency proposing to </w:t>
      </w:r>
      <w:r w:rsidR="008C39DA">
        <w:rPr>
          <w:rFonts w:ascii="Arial" w:hAnsi="Arial" w:cs="Arial"/>
          <w:sz w:val="20"/>
          <w:szCs w:val="20"/>
        </w:rPr>
        <w:t xml:space="preserve">add Facet Interventions to the list </w:t>
      </w:r>
      <w:r>
        <w:rPr>
          <w:rFonts w:ascii="Arial" w:hAnsi="Arial" w:cs="Arial"/>
          <w:sz w:val="20"/>
          <w:szCs w:val="20"/>
        </w:rPr>
        <w:t xml:space="preserve">effective March 1, 2023. </w:t>
      </w:r>
      <w:r w:rsidR="008C39DA">
        <w:rPr>
          <w:rFonts w:ascii="Arial" w:hAnsi="Arial" w:cs="Arial"/>
          <w:sz w:val="20"/>
          <w:szCs w:val="20"/>
        </w:rPr>
        <w:t>This category would consist of facet joint injections, medi</w:t>
      </w:r>
      <w:r w:rsidR="004912CE">
        <w:rPr>
          <w:rFonts w:ascii="Arial" w:hAnsi="Arial" w:cs="Arial"/>
          <w:sz w:val="20"/>
          <w:szCs w:val="20"/>
        </w:rPr>
        <w:t>c</w:t>
      </w:r>
      <w:r w:rsidR="008C39DA">
        <w:rPr>
          <w:rFonts w:ascii="Arial" w:hAnsi="Arial" w:cs="Arial"/>
          <w:sz w:val="20"/>
          <w:szCs w:val="20"/>
        </w:rPr>
        <w:t xml:space="preserve">al branch nerve blocks, and facet joint </w:t>
      </w:r>
      <w:r w:rsidR="004912CE">
        <w:rPr>
          <w:rFonts w:ascii="Arial" w:hAnsi="Arial" w:cs="Arial"/>
          <w:sz w:val="20"/>
          <w:szCs w:val="20"/>
        </w:rPr>
        <w:t>nerve destruction</w:t>
      </w:r>
      <w:r>
        <w:rPr>
          <w:rFonts w:ascii="Arial" w:hAnsi="Arial" w:cs="Arial"/>
          <w:sz w:val="20"/>
          <w:szCs w:val="20"/>
        </w:rPr>
        <w:t>.</w:t>
      </w:r>
      <w:r w:rsidR="004912CE">
        <w:rPr>
          <w:rFonts w:ascii="Arial" w:hAnsi="Arial" w:cs="Arial"/>
          <w:sz w:val="20"/>
          <w:szCs w:val="20"/>
        </w:rPr>
        <w:t xml:space="preserve"> </w:t>
      </w:r>
      <w:r w:rsidR="001254EB">
        <w:rPr>
          <w:rFonts w:ascii="Arial" w:hAnsi="Arial" w:cs="Arial"/>
          <w:sz w:val="20"/>
          <w:szCs w:val="20"/>
        </w:rPr>
        <w:t>These procedures are often used</w:t>
      </w:r>
      <w:r w:rsidR="00203D85">
        <w:rPr>
          <w:rFonts w:ascii="Arial" w:hAnsi="Arial" w:cs="Arial"/>
          <w:sz w:val="20"/>
          <w:szCs w:val="20"/>
        </w:rPr>
        <w:t>,</w:t>
      </w:r>
      <w:r w:rsidR="001254EB">
        <w:rPr>
          <w:rFonts w:ascii="Arial" w:hAnsi="Arial" w:cs="Arial"/>
          <w:sz w:val="20"/>
          <w:szCs w:val="20"/>
        </w:rPr>
        <w:t xml:space="preserve"> with or without a steroid</w:t>
      </w:r>
      <w:r w:rsidR="00203D85">
        <w:rPr>
          <w:rFonts w:ascii="Arial" w:hAnsi="Arial" w:cs="Arial"/>
          <w:sz w:val="20"/>
          <w:szCs w:val="20"/>
        </w:rPr>
        <w:t>,</w:t>
      </w:r>
      <w:r w:rsidR="001254EB">
        <w:rPr>
          <w:rFonts w:ascii="Arial" w:hAnsi="Arial" w:cs="Arial"/>
          <w:sz w:val="20"/>
          <w:szCs w:val="20"/>
        </w:rPr>
        <w:t xml:space="preserve"> to diagnose or treat chronic neck and back pain. </w:t>
      </w:r>
      <w:r w:rsidR="004912CE">
        <w:rPr>
          <w:rFonts w:ascii="Arial" w:hAnsi="Arial" w:cs="Arial"/>
          <w:sz w:val="20"/>
          <w:szCs w:val="20"/>
        </w:rPr>
        <w:t xml:space="preserve">The CMS justification is that there has been an increase in utilization--a 2.5% annual increase for injections/medical branch nerve blocks and a 7% annual increase for nerve destruction procedures. </w:t>
      </w:r>
      <w:r w:rsidR="001254EB">
        <w:rPr>
          <w:rFonts w:ascii="Arial" w:hAnsi="Arial" w:cs="Arial"/>
          <w:sz w:val="20"/>
          <w:szCs w:val="20"/>
        </w:rPr>
        <w:t xml:space="preserve">The CMS also references a February 2021 report </w:t>
      </w:r>
      <w:hyperlink r:id="rId8" w:history="1">
        <w:r w:rsidR="001254EB" w:rsidRPr="001254EB">
          <w:rPr>
            <w:color w:val="0000FF"/>
            <w:u w:val="single"/>
          </w:rPr>
          <w:t>Noridian Healthcare Solutions, LLC, Made Improper Medicare Payments of $4 Million To Physicians in Jurisdiction E for Spinal Facet-Joint Injections (A-09-20-03010). (hhs.gov)</w:t>
        </w:r>
      </w:hyperlink>
      <w:r w:rsidR="001254EB">
        <w:rPr>
          <w:rFonts w:ascii="Arial" w:hAnsi="Arial" w:cs="Arial"/>
          <w:sz w:val="20"/>
          <w:szCs w:val="20"/>
        </w:rPr>
        <w:t xml:space="preserve"> </w:t>
      </w:r>
      <w:r w:rsidR="0059793D">
        <w:rPr>
          <w:rFonts w:ascii="Arial" w:hAnsi="Arial" w:cs="Arial"/>
          <w:sz w:val="20"/>
          <w:szCs w:val="20"/>
        </w:rPr>
        <w:t xml:space="preserve">by the Office of Inspector General (OIG) </w:t>
      </w:r>
      <w:r w:rsidR="001254EB">
        <w:rPr>
          <w:rFonts w:ascii="Arial" w:hAnsi="Arial" w:cs="Arial"/>
          <w:sz w:val="20"/>
          <w:szCs w:val="20"/>
        </w:rPr>
        <w:t xml:space="preserve">that highlights improper coding and overpayment for these procedures. </w:t>
      </w:r>
      <w:r w:rsidR="0059793D">
        <w:rPr>
          <w:rFonts w:ascii="Arial" w:hAnsi="Arial" w:cs="Arial"/>
          <w:sz w:val="20"/>
          <w:szCs w:val="20"/>
        </w:rPr>
        <w:t xml:space="preserve">The report indicates that the improper payments occurred due to the Medicare Administrative Contractor’s education of physicians and their billing staff being insufficient to ensure compliance with billing requirements for spinal facet-joint injections. </w:t>
      </w:r>
    </w:p>
    <w:p w14:paraId="5EE59248" w14:textId="77777777" w:rsidR="0059793D" w:rsidRDefault="0059793D" w:rsidP="008C39DA">
      <w:pPr>
        <w:widowControl w:val="0"/>
        <w:autoSpaceDE w:val="0"/>
        <w:autoSpaceDN w:val="0"/>
        <w:spacing w:before="22" w:line="259" w:lineRule="auto"/>
        <w:rPr>
          <w:rFonts w:ascii="Arial" w:hAnsi="Arial" w:cs="Arial"/>
          <w:sz w:val="20"/>
          <w:szCs w:val="20"/>
        </w:rPr>
      </w:pPr>
    </w:p>
    <w:p w14:paraId="1F56B75C" w14:textId="2CE4C1A5" w:rsidR="00164D23" w:rsidRDefault="004912CE" w:rsidP="008C39DA">
      <w:pPr>
        <w:widowControl w:val="0"/>
        <w:autoSpaceDE w:val="0"/>
        <w:autoSpaceDN w:val="0"/>
        <w:spacing w:before="22" w:line="259" w:lineRule="auto"/>
        <w:rPr>
          <w:rFonts w:ascii="Arial" w:hAnsi="Arial" w:cs="Arial"/>
          <w:sz w:val="20"/>
          <w:szCs w:val="20"/>
        </w:rPr>
      </w:pPr>
      <w:r>
        <w:rPr>
          <w:rFonts w:ascii="Arial" w:hAnsi="Arial" w:cs="Arial"/>
          <w:sz w:val="20"/>
          <w:szCs w:val="20"/>
        </w:rPr>
        <w:t xml:space="preserve">The MHA recognizes that PA, when used appropriately, can reduce unnecessary costs and </w:t>
      </w:r>
      <w:r w:rsidR="00164D23">
        <w:rPr>
          <w:rFonts w:ascii="Arial" w:hAnsi="Arial" w:cs="Arial"/>
          <w:sz w:val="20"/>
          <w:szCs w:val="20"/>
        </w:rPr>
        <w:t>care that is not medically necessary and was initially designed to apply to expensive care and services that have a history of overutilization and misuse</w:t>
      </w:r>
      <w:r>
        <w:rPr>
          <w:rFonts w:ascii="Arial" w:hAnsi="Arial" w:cs="Arial"/>
          <w:sz w:val="20"/>
          <w:szCs w:val="20"/>
        </w:rPr>
        <w:t>.</w:t>
      </w:r>
      <w:r w:rsidR="00164D23">
        <w:rPr>
          <w:rFonts w:ascii="Arial" w:hAnsi="Arial" w:cs="Arial"/>
          <w:sz w:val="20"/>
          <w:szCs w:val="20"/>
        </w:rPr>
        <w:t xml:space="preserve"> However, there are problems with PA including:</w:t>
      </w:r>
    </w:p>
    <w:p w14:paraId="0EE7DBE1" w14:textId="77777777" w:rsidR="00164D23" w:rsidRDefault="00164D23" w:rsidP="008C39DA">
      <w:pPr>
        <w:widowControl w:val="0"/>
        <w:autoSpaceDE w:val="0"/>
        <w:autoSpaceDN w:val="0"/>
        <w:spacing w:before="22" w:line="259" w:lineRule="auto"/>
        <w:rPr>
          <w:rFonts w:ascii="Arial" w:hAnsi="Arial" w:cs="Arial"/>
          <w:sz w:val="20"/>
          <w:szCs w:val="20"/>
        </w:rPr>
      </w:pPr>
    </w:p>
    <w:p w14:paraId="0A4DC36A" w14:textId="1DE1BB1A" w:rsidR="00164D23" w:rsidRPr="00164D23" w:rsidRDefault="00F335BF" w:rsidP="00164D23">
      <w:pPr>
        <w:pStyle w:val="ListParagraph"/>
        <w:widowControl w:val="0"/>
        <w:numPr>
          <w:ilvl w:val="1"/>
          <w:numId w:val="36"/>
        </w:numPr>
        <w:autoSpaceDE w:val="0"/>
        <w:autoSpaceDN w:val="0"/>
        <w:spacing w:before="22"/>
        <w:rPr>
          <w:rFonts w:ascii="Arial" w:hAnsi="Arial" w:cs="Arial"/>
          <w:sz w:val="20"/>
          <w:szCs w:val="20"/>
        </w:rPr>
      </w:pPr>
      <w:r>
        <w:rPr>
          <w:rFonts w:ascii="Arial" w:hAnsi="Arial" w:cs="Arial"/>
          <w:sz w:val="20"/>
          <w:szCs w:val="20"/>
        </w:rPr>
        <w:t>D</w:t>
      </w:r>
      <w:r w:rsidR="00164D23">
        <w:rPr>
          <w:rFonts w:ascii="Arial" w:hAnsi="Arial" w:cs="Arial"/>
          <w:sz w:val="20"/>
          <w:szCs w:val="20"/>
        </w:rPr>
        <w:t>elays in care and treatment abandonment due to l</w:t>
      </w:r>
      <w:r w:rsidR="00164D23" w:rsidRPr="00164D23">
        <w:rPr>
          <w:rFonts w:ascii="Arial" w:hAnsi="Arial" w:cs="Arial"/>
          <w:sz w:val="20"/>
          <w:szCs w:val="20"/>
        </w:rPr>
        <w:t xml:space="preserve">ack of </w:t>
      </w:r>
      <w:r w:rsidR="00164D23">
        <w:rPr>
          <w:rFonts w:ascii="Arial" w:hAnsi="Arial" w:cs="Arial"/>
          <w:sz w:val="20"/>
          <w:szCs w:val="20"/>
        </w:rPr>
        <w:t xml:space="preserve">an </w:t>
      </w:r>
      <w:r w:rsidR="00164D23" w:rsidRPr="00164D23">
        <w:rPr>
          <w:rFonts w:ascii="Arial" w:hAnsi="Arial" w:cs="Arial"/>
          <w:sz w:val="20"/>
          <w:szCs w:val="20"/>
        </w:rPr>
        <w:t xml:space="preserve">efficient, standard submission </w:t>
      </w:r>
      <w:r w:rsidR="00164D23">
        <w:rPr>
          <w:rFonts w:ascii="Arial" w:hAnsi="Arial" w:cs="Arial"/>
          <w:sz w:val="20"/>
          <w:szCs w:val="20"/>
        </w:rPr>
        <w:t>method</w:t>
      </w:r>
      <w:r w:rsidR="00164D23" w:rsidRPr="00164D23">
        <w:rPr>
          <w:rFonts w:ascii="Arial" w:hAnsi="Arial" w:cs="Arial"/>
          <w:sz w:val="20"/>
          <w:szCs w:val="20"/>
        </w:rPr>
        <w:t xml:space="preserve"> </w:t>
      </w:r>
    </w:p>
    <w:p w14:paraId="66C35B14" w14:textId="299F1ED9" w:rsidR="008C39DA" w:rsidRPr="00164D23" w:rsidRDefault="00164D23" w:rsidP="00403C5F">
      <w:pPr>
        <w:pStyle w:val="ListParagraph"/>
        <w:widowControl w:val="0"/>
        <w:numPr>
          <w:ilvl w:val="1"/>
          <w:numId w:val="36"/>
        </w:numPr>
        <w:autoSpaceDE w:val="0"/>
        <w:autoSpaceDN w:val="0"/>
        <w:spacing w:before="22"/>
        <w:rPr>
          <w:rFonts w:ascii="Arial" w:hAnsi="Arial" w:cs="Arial"/>
          <w:sz w:val="20"/>
          <w:szCs w:val="20"/>
        </w:rPr>
      </w:pPr>
      <w:r w:rsidRPr="00164D23">
        <w:rPr>
          <w:rFonts w:ascii="Arial" w:hAnsi="Arial" w:cs="Arial"/>
          <w:sz w:val="20"/>
          <w:szCs w:val="20"/>
        </w:rPr>
        <w:t xml:space="preserve">Application of PA requirements by health plans without adequate justification.   </w:t>
      </w:r>
      <w:r w:rsidRPr="00164D23">
        <w:rPr>
          <w:rFonts w:ascii="Arial" w:hAnsi="Arial" w:cs="Arial"/>
          <w:sz w:val="20"/>
          <w:szCs w:val="20"/>
        </w:rPr>
        <w:tab/>
      </w:r>
      <w:r w:rsidR="004912CE" w:rsidRPr="00164D23">
        <w:rPr>
          <w:rFonts w:ascii="Arial" w:hAnsi="Arial" w:cs="Arial"/>
          <w:sz w:val="20"/>
          <w:szCs w:val="20"/>
        </w:rPr>
        <w:t xml:space="preserve">  </w:t>
      </w:r>
    </w:p>
    <w:p w14:paraId="0C5DF6B0" w14:textId="77D38C7D" w:rsidR="008C39DA" w:rsidRPr="001E52B5" w:rsidRDefault="008541F5" w:rsidP="00643F16">
      <w:pPr>
        <w:rPr>
          <w:rFonts w:ascii="Arial" w:hAnsi="Arial" w:cs="Arial"/>
          <w:sz w:val="20"/>
          <w:szCs w:val="20"/>
        </w:rPr>
      </w:pPr>
      <w:r w:rsidRPr="001E52B5">
        <w:rPr>
          <w:rFonts w:ascii="Arial" w:hAnsi="Arial" w:cs="Arial"/>
          <w:sz w:val="20"/>
          <w:szCs w:val="20"/>
        </w:rPr>
        <w:t xml:space="preserve">The MHA appreciates the CMS’ justification based on research and evidence of billing issues. We recommend that the CMS consider requiring </w:t>
      </w:r>
      <w:r w:rsidR="00AB633A">
        <w:rPr>
          <w:rFonts w:ascii="Arial" w:hAnsi="Arial" w:cs="Arial"/>
          <w:sz w:val="20"/>
          <w:szCs w:val="20"/>
        </w:rPr>
        <w:t>Medicare Advantage Organizations</w:t>
      </w:r>
      <w:r w:rsidRPr="001E52B5">
        <w:rPr>
          <w:rFonts w:ascii="Arial" w:hAnsi="Arial" w:cs="Arial"/>
          <w:sz w:val="20"/>
          <w:szCs w:val="20"/>
        </w:rPr>
        <w:t xml:space="preserve"> and other plans over which they have oversight responsibilities </w:t>
      </w:r>
      <w:r w:rsidR="001E52B5" w:rsidRPr="001E52B5">
        <w:rPr>
          <w:rFonts w:ascii="Arial" w:hAnsi="Arial" w:cs="Arial"/>
          <w:sz w:val="20"/>
          <w:szCs w:val="20"/>
        </w:rPr>
        <w:t xml:space="preserve">to provide researched reasoning to their PA expansions. </w:t>
      </w:r>
      <w:r w:rsidR="006A3C75">
        <w:rPr>
          <w:rFonts w:ascii="Arial" w:hAnsi="Arial" w:cs="Arial"/>
          <w:sz w:val="20"/>
          <w:szCs w:val="20"/>
        </w:rPr>
        <w:t>T</w:t>
      </w:r>
      <w:r w:rsidR="001E52B5" w:rsidRPr="001E52B5">
        <w:rPr>
          <w:rFonts w:ascii="Arial" w:hAnsi="Arial" w:cs="Arial"/>
          <w:sz w:val="20"/>
          <w:szCs w:val="20"/>
        </w:rPr>
        <w:t xml:space="preserve">he MHA agrees with the </w:t>
      </w:r>
      <w:r w:rsidR="006A3C75">
        <w:rPr>
          <w:rFonts w:ascii="Arial" w:hAnsi="Arial" w:cs="Arial"/>
          <w:sz w:val="20"/>
          <w:szCs w:val="20"/>
        </w:rPr>
        <w:t>OIG</w:t>
      </w:r>
      <w:r w:rsidR="001E52B5" w:rsidRPr="001E52B5">
        <w:rPr>
          <w:rFonts w:ascii="Arial" w:hAnsi="Arial" w:cs="Arial"/>
          <w:sz w:val="20"/>
          <w:szCs w:val="20"/>
        </w:rPr>
        <w:t xml:space="preserve"> report that call</w:t>
      </w:r>
      <w:r w:rsidR="006A3C75">
        <w:rPr>
          <w:rFonts w:ascii="Arial" w:hAnsi="Arial" w:cs="Arial"/>
          <w:sz w:val="20"/>
          <w:szCs w:val="20"/>
        </w:rPr>
        <w:t>s</w:t>
      </w:r>
      <w:r w:rsidR="001E52B5" w:rsidRPr="001E52B5">
        <w:rPr>
          <w:rFonts w:ascii="Arial" w:hAnsi="Arial" w:cs="Arial"/>
          <w:sz w:val="20"/>
          <w:szCs w:val="20"/>
        </w:rPr>
        <w:t xml:space="preserve"> for increased education and provider outreach to correct the issue</w:t>
      </w:r>
      <w:r w:rsidR="006A3C75">
        <w:rPr>
          <w:rFonts w:ascii="Arial" w:hAnsi="Arial" w:cs="Arial"/>
          <w:sz w:val="20"/>
          <w:szCs w:val="20"/>
        </w:rPr>
        <w:t xml:space="preserve">. We oppose expansion of PA and </w:t>
      </w:r>
      <w:r w:rsidR="001E52B5" w:rsidRPr="001E52B5">
        <w:rPr>
          <w:rFonts w:ascii="Arial" w:hAnsi="Arial" w:cs="Arial"/>
          <w:sz w:val="20"/>
          <w:szCs w:val="20"/>
        </w:rPr>
        <w:t>believe</w:t>
      </w:r>
      <w:r w:rsidR="0059793D">
        <w:rPr>
          <w:rFonts w:ascii="Arial" w:hAnsi="Arial" w:cs="Arial"/>
          <w:sz w:val="20"/>
          <w:szCs w:val="20"/>
        </w:rPr>
        <w:t xml:space="preserve"> that</w:t>
      </w:r>
      <w:r w:rsidR="001E52B5" w:rsidRPr="001E52B5">
        <w:rPr>
          <w:rFonts w:ascii="Arial" w:hAnsi="Arial" w:cs="Arial"/>
          <w:sz w:val="20"/>
          <w:szCs w:val="20"/>
        </w:rPr>
        <w:t>:</w:t>
      </w:r>
    </w:p>
    <w:p w14:paraId="33659347" w14:textId="73609995" w:rsidR="001E52B5" w:rsidRPr="001E52B5" w:rsidRDefault="001E52B5" w:rsidP="00643F16">
      <w:pPr>
        <w:rPr>
          <w:rFonts w:ascii="Arial" w:hAnsi="Arial" w:cs="Arial"/>
          <w:sz w:val="20"/>
          <w:szCs w:val="20"/>
        </w:rPr>
      </w:pPr>
      <w:r w:rsidRPr="001E52B5">
        <w:rPr>
          <w:rFonts w:ascii="Arial" w:hAnsi="Arial" w:cs="Arial"/>
          <w:sz w:val="20"/>
          <w:szCs w:val="20"/>
        </w:rPr>
        <w:tab/>
      </w:r>
    </w:p>
    <w:p w14:paraId="5BF0E31C" w14:textId="55A84566" w:rsidR="001E52B5" w:rsidRPr="001E52B5" w:rsidRDefault="001E52B5" w:rsidP="001E52B5">
      <w:pPr>
        <w:pStyle w:val="ListParagraph"/>
        <w:numPr>
          <w:ilvl w:val="1"/>
          <w:numId w:val="41"/>
        </w:numPr>
        <w:rPr>
          <w:rFonts w:ascii="Arial" w:hAnsi="Arial" w:cs="Arial"/>
          <w:sz w:val="20"/>
          <w:szCs w:val="20"/>
        </w:rPr>
      </w:pPr>
      <w:r w:rsidRPr="001E52B5">
        <w:rPr>
          <w:rFonts w:ascii="Arial" w:hAnsi="Arial" w:cs="Arial"/>
          <w:sz w:val="20"/>
          <w:szCs w:val="20"/>
        </w:rPr>
        <w:t xml:space="preserve">Application to a non-opioid pain management therapy </w:t>
      </w:r>
      <w:r w:rsidR="006A3C75">
        <w:rPr>
          <w:rFonts w:ascii="Arial" w:hAnsi="Arial" w:cs="Arial"/>
          <w:sz w:val="20"/>
          <w:szCs w:val="20"/>
        </w:rPr>
        <w:t xml:space="preserve">such as facet interventions </w:t>
      </w:r>
      <w:r w:rsidRPr="001E52B5">
        <w:rPr>
          <w:rFonts w:ascii="Arial" w:hAnsi="Arial" w:cs="Arial"/>
          <w:sz w:val="20"/>
          <w:szCs w:val="20"/>
        </w:rPr>
        <w:t xml:space="preserve">may explain some of the </w:t>
      </w:r>
      <w:r w:rsidR="006A3C75">
        <w:rPr>
          <w:rFonts w:ascii="Arial" w:hAnsi="Arial" w:cs="Arial"/>
          <w:sz w:val="20"/>
          <w:szCs w:val="20"/>
        </w:rPr>
        <w:t>utilization increase</w:t>
      </w:r>
    </w:p>
    <w:p w14:paraId="44AD4A46" w14:textId="1F63C539" w:rsidR="001E52B5" w:rsidRPr="001E52B5" w:rsidRDefault="001E52B5" w:rsidP="001E52B5">
      <w:pPr>
        <w:pStyle w:val="ListParagraph"/>
        <w:numPr>
          <w:ilvl w:val="1"/>
          <w:numId w:val="41"/>
        </w:numPr>
        <w:rPr>
          <w:rFonts w:ascii="Arial" w:hAnsi="Arial" w:cs="Arial"/>
          <w:sz w:val="20"/>
          <w:szCs w:val="20"/>
        </w:rPr>
      </w:pPr>
      <w:r w:rsidRPr="001E52B5">
        <w:rPr>
          <w:rFonts w:ascii="Arial" w:hAnsi="Arial" w:cs="Arial"/>
          <w:sz w:val="20"/>
          <w:szCs w:val="20"/>
        </w:rPr>
        <w:t xml:space="preserve">Local and national coverage determinations </w:t>
      </w:r>
      <w:r w:rsidR="0059793D">
        <w:rPr>
          <w:rFonts w:ascii="Arial" w:hAnsi="Arial" w:cs="Arial"/>
          <w:sz w:val="20"/>
          <w:szCs w:val="20"/>
        </w:rPr>
        <w:t xml:space="preserve">are </w:t>
      </w:r>
      <w:r w:rsidRPr="001E52B5">
        <w:rPr>
          <w:rFonts w:ascii="Arial" w:hAnsi="Arial" w:cs="Arial"/>
          <w:sz w:val="20"/>
          <w:szCs w:val="20"/>
        </w:rPr>
        <w:t xml:space="preserve">responsible for many of the improper utilizations detailed in the OIG report </w:t>
      </w:r>
    </w:p>
    <w:p w14:paraId="5874F9F2" w14:textId="6A05439E" w:rsidR="001E52B5" w:rsidRPr="001E52B5" w:rsidRDefault="0059793D" w:rsidP="001E52B5">
      <w:pPr>
        <w:pStyle w:val="ListParagraph"/>
        <w:numPr>
          <w:ilvl w:val="1"/>
          <w:numId w:val="41"/>
        </w:numPr>
        <w:rPr>
          <w:rFonts w:ascii="Arial" w:hAnsi="Arial" w:cs="Arial"/>
          <w:sz w:val="20"/>
          <w:szCs w:val="20"/>
        </w:rPr>
      </w:pPr>
      <w:r>
        <w:rPr>
          <w:rFonts w:ascii="Arial" w:hAnsi="Arial" w:cs="Arial"/>
          <w:sz w:val="20"/>
          <w:szCs w:val="20"/>
        </w:rPr>
        <w:t xml:space="preserve">Requiring PA for </w:t>
      </w:r>
      <w:r w:rsidR="001E52B5" w:rsidRPr="001E52B5">
        <w:rPr>
          <w:rFonts w:ascii="Arial" w:hAnsi="Arial" w:cs="Arial"/>
          <w:sz w:val="20"/>
          <w:szCs w:val="20"/>
        </w:rPr>
        <w:t xml:space="preserve">pain management </w:t>
      </w:r>
      <w:r>
        <w:rPr>
          <w:rFonts w:ascii="Arial" w:hAnsi="Arial" w:cs="Arial"/>
          <w:sz w:val="20"/>
          <w:szCs w:val="20"/>
        </w:rPr>
        <w:t xml:space="preserve">procedures </w:t>
      </w:r>
      <w:r w:rsidR="001E52B5" w:rsidRPr="001E52B5">
        <w:rPr>
          <w:rFonts w:ascii="Arial" w:hAnsi="Arial" w:cs="Arial"/>
          <w:sz w:val="20"/>
          <w:szCs w:val="20"/>
        </w:rPr>
        <w:t xml:space="preserve">results in patients waiting in pain which the inefficient process is completed which is not appropriate. </w:t>
      </w:r>
    </w:p>
    <w:p w14:paraId="48B1F1CB" w14:textId="18890332" w:rsidR="002E52F8" w:rsidRDefault="00686ADD" w:rsidP="00A81F9B">
      <w:pPr>
        <w:widowControl w:val="0"/>
        <w:autoSpaceDE w:val="0"/>
        <w:autoSpaceDN w:val="0"/>
        <w:spacing w:before="22" w:line="259" w:lineRule="auto"/>
        <w:rPr>
          <w:rFonts w:ascii="Arial" w:hAnsi="Arial" w:cs="Arial"/>
          <w:b/>
          <w:bCs/>
          <w:sz w:val="20"/>
          <w:szCs w:val="20"/>
        </w:rPr>
      </w:pPr>
      <w:r>
        <w:rPr>
          <w:rFonts w:ascii="Arial" w:hAnsi="Arial" w:cs="Arial"/>
          <w:b/>
          <w:bCs/>
          <w:sz w:val="20"/>
          <w:szCs w:val="20"/>
        </w:rPr>
        <w:t>T</w:t>
      </w:r>
      <w:r w:rsidR="006A3C75" w:rsidRPr="006A3C75">
        <w:rPr>
          <w:rFonts w:ascii="Arial" w:hAnsi="Arial" w:cs="Arial"/>
          <w:b/>
          <w:bCs/>
          <w:sz w:val="20"/>
          <w:szCs w:val="20"/>
        </w:rPr>
        <w:t xml:space="preserve">he MHA urges the CMS to abandon its proposal to expand PA to these services and instead focus on educating physicians and their billing staff.  </w:t>
      </w:r>
    </w:p>
    <w:p w14:paraId="747152AC" w14:textId="3A7D7A5C" w:rsidR="00B150A7" w:rsidRDefault="00B150A7" w:rsidP="00A81F9B">
      <w:pPr>
        <w:widowControl w:val="0"/>
        <w:autoSpaceDE w:val="0"/>
        <w:autoSpaceDN w:val="0"/>
        <w:spacing w:before="22" w:line="259" w:lineRule="auto"/>
        <w:rPr>
          <w:rFonts w:ascii="Arial" w:hAnsi="Arial" w:cs="Arial"/>
          <w:b/>
          <w:bCs/>
          <w:sz w:val="20"/>
          <w:szCs w:val="20"/>
        </w:rPr>
      </w:pPr>
    </w:p>
    <w:p w14:paraId="7ACBE838" w14:textId="79A91285" w:rsidR="00B150A7" w:rsidRPr="00B150A7" w:rsidRDefault="00B150A7" w:rsidP="00A81F9B">
      <w:pPr>
        <w:widowControl w:val="0"/>
        <w:autoSpaceDE w:val="0"/>
        <w:autoSpaceDN w:val="0"/>
        <w:spacing w:before="22" w:line="259" w:lineRule="auto"/>
        <w:rPr>
          <w:rFonts w:ascii="Arial" w:eastAsia="Calibri" w:hAnsi="Arial" w:cs="Arial"/>
          <w:b/>
          <w:bCs/>
          <w:smallCaps/>
          <w:sz w:val="20"/>
          <w:szCs w:val="20"/>
          <w:u w:val="single"/>
        </w:rPr>
      </w:pPr>
      <w:bookmarkStart w:id="3" w:name="_Hlk112330405"/>
      <w:r w:rsidRPr="00B150A7">
        <w:rPr>
          <w:rFonts w:ascii="Arial" w:eastAsia="Calibri" w:hAnsi="Arial" w:cs="Arial"/>
          <w:b/>
          <w:bCs/>
          <w:smallCaps/>
          <w:sz w:val="20"/>
          <w:szCs w:val="20"/>
          <w:u w:val="single"/>
        </w:rPr>
        <w:t>Payment for Blood Not Otherwise Classified (NOC) Code – P9099</w:t>
      </w:r>
    </w:p>
    <w:p w14:paraId="66385ED1" w14:textId="145AC46B" w:rsidR="00B150A7" w:rsidRDefault="00B150A7" w:rsidP="00A81F9B">
      <w:pPr>
        <w:widowControl w:val="0"/>
        <w:autoSpaceDE w:val="0"/>
        <w:autoSpaceDN w:val="0"/>
        <w:spacing w:before="22" w:line="259" w:lineRule="auto"/>
        <w:rPr>
          <w:rFonts w:ascii="Arial" w:hAnsi="Arial" w:cs="Arial"/>
          <w:b/>
          <w:bCs/>
          <w:sz w:val="20"/>
          <w:szCs w:val="20"/>
        </w:rPr>
      </w:pPr>
    </w:p>
    <w:bookmarkEnd w:id="3"/>
    <w:p w14:paraId="792E00AE" w14:textId="2F05E706" w:rsidR="00B150A7" w:rsidRDefault="00B150A7" w:rsidP="00A81F9B">
      <w:pPr>
        <w:widowControl w:val="0"/>
        <w:autoSpaceDE w:val="0"/>
        <w:autoSpaceDN w:val="0"/>
        <w:spacing w:before="22" w:line="259" w:lineRule="auto"/>
        <w:rPr>
          <w:rFonts w:ascii="Arial" w:hAnsi="Arial" w:cs="Arial"/>
          <w:b/>
          <w:bCs/>
          <w:sz w:val="20"/>
          <w:szCs w:val="20"/>
        </w:rPr>
      </w:pPr>
      <w:r w:rsidRPr="00B150A7">
        <w:rPr>
          <w:rFonts w:ascii="Arial" w:hAnsi="Arial" w:cs="Arial"/>
          <w:sz w:val="20"/>
          <w:szCs w:val="20"/>
        </w:rPr>
        <w:t>Effective Jan. 1, 2020, the CMS established a new HCPCS code, P9909 (Blood component or product NOC), which allows providers to report unclassified blood products before blood product specific HCPCS codes are available</w:t>
      </w:r>
      <w:r w:rsidR="00A34E47">
        <w:rPr>
          <w:rFonts w:ascii="Arial" w:hAnsi="Arial" w:cs="Arial"/>
          <w:sz w:val="20"/>
          <w:szCs w:val="20"/>
        </w:rPr>
        <w:t>, s</w:t>
      </w:r>
      <w:r w:rsidRPr="00B150A7">
        <w:rPr>
          <w:rFonts w:ascii="Arial" w:hAnsi="Arial" w:cs="Arial"/>
          <w:sz w:val="20"/>
          <w:szCs w:val="20"/>
        </w:rPr>
        <w:t>tatus indicat</w:t>
      </w:r>
      <w:r w:rsidR="00686ADD">
        <w:rPr>
          <w:rFonts w:ascii="Arial" w:hAnsi="Arial" w:cs="Arial"/>
          <w:sz w:val="20"/>
          <w:szCs w:val="20"/>
        </w:rPr>
        <w:t>or</w:t>
      </w:r>
      <w:r w:rsidRPr="00B150A7">
        <w:rPr>
          <w:rFonts w:ascii="Arial" w:hAnsi="Arial" w:cs="Arial"/>
          <w:sz w:val="20"/>
          <w:szCs w:val="20"/>
        </w:rPr>
        <w:t xml:space="preserve"> (SI) “E2” (Not payable by Medicare when submitted on an outpatient claim).</w:t>
      </w:r>
      <w:r>
        <w:rPr>
          <w:rFonts w:ascii="Arial" w:hAnsi="Arial" w:cs="Arial"/>
          <w:sz w:val="20"/>
          <w:szCs w:val="20"/>
        </w:rPr>
        <w:t xml:space="preserve"> For 2021, the CMS changed the SI for HCPCS code P9099 from “E2” to “R” (blood and blood products) paid under OPPS. Separately payable at a rate equal to the lowest paid separately payable blood product in the OPPS with a payment rate of $7.79 per unit. In August 2021, the Hospital Outpatient </w:t>
      </w:r>
      <w:r>
        <w:rPr>
          <w:rFonts w:ascii="Arial" w:hAnsi="Arial" w:cs="Arial"/>
          <w:sz w:val="20"/>
          <w:szCs w:val="20"/>
        </w:rPr>
        <w:lastRenderedPageBreak/>
        <w:t xml:space="preserve">Payment Advisory Panel recommended assigning SI “F” to HCPCS 9099 which would have authorized MACs to compensate hospitals for new blood products temporarily billed with HCPCS P909 based on the </w:t>
      </w:r>
      <w:r w:rsidR="00344676">
        <w:rPr>
          <w:rFonts w:ascii="Arial" w:hAnsi="Arial" w:cs="Arial"/>
          <w:sz w:val="20"/>
          <w:szCs w:val="20"/>
        </w:rPr>
        <w:t xml:space="preserve">2022 OPPS/ASC proposed rule. The CMS did not approve the SI change to “F”. Addendum B of the current proposed rule indicates a 2023 payment rate of $56.58 per unit for any blood product billed with HCPCS code P9099. </w:t>
      </w:r>
      <w:r w:rsidR="00344676" w:rsidRPr="00344676">
        <w:rPr>
          <w:rFonts w:ascii="Arial" w:hAnsi="Arial" w:cs="Arial"/>
          <w:b/>
          <w:bCs/>
          <w:sz w:val="20"/>
          <w:szCs w:val="20"/>
        </w:rPr>
        <w:t xml:space="preserve">The MHA urges the CMS to reconsider the recommended </w:t>
      </w:r>
      <w:r w:rsidR="00686ADD">
        <w:rPr>
          <w:rFonts w:ascii="Arial" w:hAnsi="Arial" w:cs="Arial"/>
          <w:b/>
          <w:bCs/>
          <w:sz w:val="20"/>
          <w:szCs w:val="20"/>
        </w:rPr>
        <w:t xml:space="preserve">SI </w:t>
      </w:r>
      <w:r w:rsidR="00344676" w:rsidRPr="00344676">
        <w:rPr>
          <w:rFonts w:ascii="Arial" w:hAnsi="Arial" w:cs="Arial"/>
          <w:b/>
          <w:bCs/>
          <w:sz w:val="20"/>
          <w:szCs w:val="20"/>
        </w:rPr>
        <w:t xml:space="preserve">change or other alternatives. </w:t>
      </w:r>
    </w:p>
    <w:p w14:paraId="1718E281" w14:textId="77777777" w:rsidR="004323A5" w:rsidRDefault="004323A5" w:rsidP="0078509A">
      <w:pPr>
        <w:widowControl w:val="0"/>
        <w:autoSpaceDE w:val="0"/>
        <w:autoSpaceDN w:val="0"/>
        <w:spacing w:before="22" w:line="259" w:lineRule="auto"/>
        <w:rPr>
          <w:rFonts w:ascii="Arial" w:eastAsia="Calibri" w:hAnsi="Arial" w:cs="Arial"/>
          <w:b/>
          <w:bCs/>
          <w:smallCaps/>
          <w:sz w:val="20"/>
          <w:szCs w:val="20"/>
          <w:u w:val="single"/>
        </w:rPr>
      </w:pPr>
    </w:p>
    <w:p w14:paraId="0FC366F3" w14:textId="29AAC373" w:rsidR="0078509A" w:rsidRPr="00B150A7" w:rsidRDefault="0078509A" w:rsidP="0078509A">
      <w:pPr>
        <w:widowControl w:val="0"/>
        <w:autoSpaceDE w:val="0"/>
        <w:autoSpaceDN w:val="0"/>
        <w:spacing w:before="22" w:line="259" w:lineRule="auto"/>
        <w:rPr>
          <w:rFonts w:ascii="Arial" w:eastAsia="Calibri" w:hAnsi="Arial" w:cs="Arial"/>
          <w:b/>
          <w:bCs/>
          <w:smallCaps/>
          <w:sz w:val="20"/>
          <w:szCs w:val="20"/>
          <w:u w:val="single"/>
        </w:rPr>
      </w:pPr>
      <w:r w:rsidRPr="00B150A7">
        <w:rPr>
          <w:rFonts w:ascii="Arial" w:eastAsia="Calibri" w:hAnsi="Arial" w:cs="Arial"/>
          <w:b/>
          <w:bCs/>
          <w:smallCaps/>
          <w:sz w:val="20"/>
          <w:szCs w:val="20"/>
          <w:u w:val="single"/>
        </w:rPr>
        <w:t xml:space="preserve">Payment for </w:t>
      </w:r>
      <w:r>
        <w:rPr>
          <w:rFonts w:ascii="Arial" w:eastAsia="Calibri" w:hAnsi="Arial" w:cs="Arial"/>
          <w:b/>
          <w:bCs/>
          <w:smallCaps/>
          <w:sz w:val="20"/>
          <w:szCs w:val="20"/>
          <w:u w:val="single"/>
        </w:rPr>
        <w:t>Outpatient Mental Health Services</w:t>
      </w:r>
    </w:p>
    <w:p w14:paraId="565139B0" w14:textId="77777777" w:rsidR="0078509A" w:rsidRDefault="0078509A" w:rsidP="0078509A">
      <w:pPr>
        <w:widowControl w:val="0"/>
        <w:autoSpaceDE w:val="0"/>
        <w:autoSpaceDN w:val="0"/>
        <w:spacing w:before="22" w:line="259" w:lineRule="auto"/>
        <w:rPr>
          <w:rFonts w:ascii="Arial" w:hAnsi="Arial" w:cs="Arial"/>
          <w:b/>
          <w:bCs/>
          <w:sz w:val="20"/>
          <w:szCs w:val="20"/>
        </w:rPr>
      </w:pPr>
    </w:p>
    <w:p w14:paraId="19CF322B" w14:textId="4FDE6F51" w:rsidR="004323A5" w:rsidRDefault="004323A5" w:rsidP="00A81F9B">
      <w:pPr>
        <w:widowControl w:val="0"/>
        <w:autoSpaceDE w:val="0"/>
        <w:autoSpaceDN w:val="0"/>
        <w:spacing w:before="22" w:line="259" w:lineRule="auto"/>
        <w:rPr>
          <w:rFonts w:ascii="Arial" w:hAnsi="Arial" w:cs="Arial"/>
          <w:sz w:val="20"/>
          <w:szCs w:val="20"/>
        </w:rPr>
      </w:pPr>
      <w:r>
        <w:rPr>
          <w:rFonts w:ascii="Arial" w:hAnsi="Arial" w:cs="Arial"/>
          <w:sz w:val="20"/>
          <w:szCs w:val="20"/>
        </w:rPr>
        <w:t>The MHA thanks the CMS for taking steps to help overcome the challenges faced by rural Americans in obtaining critical mental health services. Covering mental health services provided remotely by hospital staff to patients in their homes will increase access and options for Medicaid beneficiaries requiring mental health care. We also commen</w:t>
      </w:r>
      <w:r w:rsidR="00CF3F56">
        <w:rPr>
          <w:rFonts w:ascii="Arial" w:hAnsi="Arial" w:cs="Arial"/>
          <w:sz w:val="20"/>
          <w:szCs w:val="20"/>
        </w:rPr>
        <w:t>d</w:t>
      </w:r>
      <w:r>
        <w:rPr>
          <w:rFonts w:ascii="Arial" w:hAnsi="Arial" w:cs="Arial"/>
          <w:sz w:val="20"/>
          <w:szCs w:val="20"/>
        </w:rPr>
        <w:t xml:space="preserve"> the CMS for permitting critical access hospitals (CAHs) to bill for these services even though they are not paid under the Medicare OPPS. Again, these services provide a vital lifeline to needed care for many Medicare beneficiaries. We recommend that the clinical staff providing mental health services do not need to be</w:t>
      </w:r>
      <w:r w:rsidR="000A0EC9">
        <w:rPr>
          <w:rFonts w:ascii="Arial" w:hAnsi="Arial" w:cs="Arial"/>
          <w:sz w:val="20"/>
          <w:szCs w:val="20"/>
        </w:rPr>
        <w:t xml:space="preserve"> physically present</w:t>
      </w:r>
      <w:r>
        <w:rPr>
          <w:rFonts w:ascii="Arial" w:hAnsi="Arial" w:cs="Arial"/>
          <w:sz w:val="20"/>
          <w:szCs w:val="20"/>
        </w:rPr>
        <w:t xml:space="preserve"> “in” a hospital outpatient department while providing services to patients in their homes. We urge the CMS to amend Section 410.27(a) of 42 C.F. R. to include an exception for mental health services provided to patients remotely. This will increase the number of available clinicians and improve access to these vital services. </w:t>
      </w:r>
    </w:p>
    <w:p w14:paraId="433A76BF" w14:textId="34EA6251" w:rsidR="00D0203F" w:rsidRDefault="00D0203F" w:rsidP="00A81F9B">
      <w:pPr>
        <w:widowControl w:val="0"/>
        <w:autoSpaceDE w:val="0"/>
        <w:autoSpaceDN w:val="0"/>
        <w:spacing w:before="22" w:line="259" w:lineRule="auto"/>
        <w:rPr>
          <w:rFonts w:ascii="Arial" w:hAnsi="Arial" w:cs="Arial"/>
          <w:sz w:val="20"/>
          <w:szCs w:val="20"/>
        </w:rPr>
      </w:pPr>
    </w:p>
    <w:p w14:paraId="1ECA8A9B" w14:textId="76609EDC" w:rsidR="00D0203F" w:rsidRDefault="00D0203F" w:rsidP="00A81F9B">
      <w:pPr>
        <w:widowControl w:val="0"/>
        <w:autoSpaceDE w:val="0"/>
        <w:autoSpaceDN w:val="0"/>
        <w:spacing w:before="22" w:line="259" w:lineRule="auto"/>
        <w:rPr>
          <w:rFonts w:ascii="Arial" w:hAnsi="Arial" w:cs="Arial"/>
          <w:sz w:val="20"/>
          <w:szCs w:val="20"/>
        </w:rPr>
      </w:pPr>
      <w:r>
        <w:rPr>
          <w:rFonts w:ascii="Arial" w:hAnsi="Arial" w:cs="Arial"/>
          <w:sz w:val="20"/>
          <w:szCs w:val="20"/>
        </w:rPr>
        <w:t>The MHA also supports the CMS’ proposal to continue the use of audio-only technology for mental health services following the end of the COVID-19 PHE since many beneficiaries cannot use audio/video technology due to broadband limitations in their area</w:t>
      </w:r>
      <w:r w:rsidR="00DA0BF5">
        <w:rPr>
          <w:rFonts w:ascii="Arial" w:hAnsi="Arial" w:cs="Arial"/>
          <w:sz w:val="20"/>
          <w:szCs w:val="20"/>
        </w:rPr>
        <w:t xml:space="preserve"> or may choose to use audio only</w:t>
      </w:r>
      <w:r>
        <w:rPr>
          <w:rFonts w:ascii="Arial" w:hAnsi="Arial" w:cs="Arial"/>
          <w:sz w:val="20"/>
          <w:szCs w:val="20"/>
        </w:rPr>
        <w:t>. Rural areas are more likely to have limited access to broadband and have experienced significant benefits from audio-only visits during the pandemic</w:t>
      </w:r>
      <w:r w:rsidR="00B640C0">
        <w:rPr>
          <w:rFonts w:ascii="Arial" w:hAnsi="Arial" w:cs="Arial"/>
          <w:sz w:val="20"/>
          <w:szCs w:val="20"/>
        </w:rPr>
        <w:t xml:space="preserve"> and it’s crucial that these services can continue beyond the PHE. </w:t>
      </w:r>
    </w:p>
    <w:p w14:paraId="5143AD74" w14:textId="77777777" w:rsidR="004323A5" w:rsidRDefault="004323A5" w:rsidP="00A81F9B">
      <w:pPr>
        <w:widowControl w:val="0"/>
        <w:autoSpaceDE w:val="0"/>
        <w:autoSpaceDN w:val="0"/>
        <w:spacing w:before="22" w:line="259" w:lineRule="auto"/>
        <w:rPr>
          <w:rFonts w:ascii="Arial" w:hAnsi="Arial" w:cs="Arial"/>
          <w:sz w:val="20"/>
          <w:szCs w:val="20"/>
        </w:rPr>
      </w:pPr>
    </w:p>
    <w:p w14:paraId="27C8DE9A" w14:textId="77777777" w:rsidR="00CF059D" w:rsidRPr="00CF059D" w:rsidRDefault="00CF059D" w:rsidP="00CF059D">
      <w:pPr>
        <w:widowControl w:val="0"/>
        <w:autoSpaceDE w:val="0"/>
        <w:autoSpaceDN w:val="0"/>
        <w:spacing w:before="22" w:line="259" w:lineRule="auto"/>
        <w:rPr>
          <w:rFonts w:ascii="Arial" w:eastAsia="Calibri" w:hAnsi="Arial" w:cs="Arial"/>
          <w:b/>
          <w:bCs/>
          <w:smallCaps/>
          <w:sz w:val="20"/>
          <w:szCs w:val="20"/>
          <w:u w:val="single"/>
        </w:rPr>
      </w:pPr>
      <w:r w:rsidRPr="00CF059D">
        <w:rPr>
          <w:rFonts w:ascii="Arial" w:eastAsia="Calibri" w:hAnsi="Arial" w:cs="Arial"/>
          <w:b/>
          <w:bCs/>
          <w:smallCaps/>
          <w:sz w:val="20"/>
          <w:szCs w:val="20"/>
          <w:u w:val="single"/>
        </w:rPr>
        <w:t>Supervision by Nonphysician Practitioners of Hospital and CAH Diagnostic Services Furnished to Outpatients</w:t>
      </w:r>
    </w:p>
    <w:p w14:paraId="60107057" w14:textId="77777777" w:rsidR="00CF059D" w:rsidRPr="00112581" w:rsidRDefault="00CF059D" w:rsidP="00CF059D">
      <w:pPr>
        <w:spacing w:line="257" w:lineRule="auto"/>
        <w:jc w:val="both"/>
        <w:rPr>
          <w:rFonts w:ascii="Arial" w:eastAsia="Cambria" w:hAnsi="Arial" w:cs="Arial"/>
          <w:i/>
          <w:iCs/>
          <w:color w:val="000000" w:themeColor="text1"/>
          <w:sz w:val="20"/>
          <w:szCs w:val="20"/>
        </w:rPr>
      </w:pPr>
    </w:p>
    <w:p w14:paraId="71B2B4DC" w14:textId="003363AD" w:rsidR="00CF059D" w:rsidRPr="00CF059D" w:rsidRDefault="00CF059D" w:rsidP="00CF059D">
      <w:pPr>
        <w:widowControl w:val="0"/>
        <w:autoSpaceDE w:val="0"/>
        <w:autoSpaceDN w:val="0"/>
        <w:spacing w:before="22" w:line="259" w:lineRule="auto"/>
        <w:rPr>
          <w:rFonts w:ascii="Arial" w:hAnsi="Arial" w:cs="Arial"/>
          <w:sz w:val="20"/>
          <w:szCs w:val="20"/>
        </w:rPr>
      </w:pPr>
      <w:r w:rsidRPr="00CF059D">
        <w:rPr>
          <w:rFonts w:ascii="Arial" w:hAnsi="Arial" w:cs="Arial"/>
          <w:sz w:val="20"/>
          <w:szCs w:val="20"/>
        </w:rPr>
        <w:t>The MHA supports the ability of nonphysician practitioners (NPPs) to practice at the top of their license and clinical training. We thank the CMS for proposing that NPPs may provide general, direct, and personal supervision of outpatient diagnostic services, per state scope of practice laws. Workforce flexibilities are crucial for providers, especially those in rural area</w:t>
      </w:r>
      <w:r w:rsidR="00F74EB4">
        <w:rPr>
          <w:rFonts w:ascii="Arial" w:hAnsi="Arial" w:cs="Arial"/>
          <w:sz w:val="20"/>
          <w:szCs w:val="20"/>
        </w:rPr>
        <w:t>s</w:t>
      </w:r>
      <w:r w:rsidRPr="00CF059D">
        <w:rPr>
          <w:rFonts w:ascii="Arial" w:hAnsi="Arial" w:cs="Arial"/>
          <w:sz w:val="20"/>
          <w:szCs w:val="20"/>
        </w:rPr>
        <w:t xml:space="preserve">, </w:t>
      </w:r>
      <w:r w:rsidR="00F74EB4">
        <w:rPr>
          <w:rFonts w:ascii="Arial" w:hAnsi="Arial" w:cs="Arial"/>
          <w:sz w:val="20"/>
          <w:szCs w:val="20"/>
        </w:rPr>
        <w:t>as providers continue to</w:t>
      </w:r>
      <w:r w:rsidRPr="00CF059D">
        <w:rPr>
          <w:rFonts w:ascii="Arial" w:hAnsi="Arial" w:cs="Arial"/>
          <w:sz w:val="20"/>
          <w:szCs w:val="20"/>
        </w:rPr>
        <w:t xml:space="preserve"> </w:t>
      </w:r>
      <w:r w:rsidR="00F74EB4">
        <w:rPr>
          <w:rFonts w:ascii="Arial" w:hAnsi="Arial" w:cs="Arial"/>
          <w:sz w:val="20"/>
          <w:szCs w:val="20"/>
        </w:rPr>
        <w:t>experience unprecedented</w:t>
      </w:r>
      <w:r w:rsidRPr="00CF059D">
        <w:rPr>
          <w:rFonts w:ascii="Arial" w:hAnsi="Arial" w:cs="Arial"/>
          <w:sz w:val="20"/>
          <w:szCs w:val="20"/>
        </w:rPr>
        <w:t xml:space="preserve"> challenges in recruiting and retaining an adequate workforce</w:t>
      </w:r>
      <w:r w:rsidR="00F74EB4">
        <w:rPr>
          <w:rFonts w:ascii="Arial" w:hAnsi="Arial" w:cs="Arial"/>
          <w:sz w:val="20"/>
          <w:szCs w:val="20"/>
        </w:rPr>
        <w:t xml:space="preserve"> as they continue to experience to other pandemic-related challenges</w:t>
      </w:r>
      <w:r w:rsidRPr="00CF059D">
        <w:rPr>
          <w:rFonts w:ascii="Arial" w:hAnsi="Arial" w:cs="Arial"/>
          <w:sz w:val="20"/>
          <w:szCs w:val="20"/>
        </w:rPr>
        <w:t>. NPPs are critical to maintaining and increasing access to healthcare</w:t>
      </w:r>
      <w:r w:rsidR="00F74EB4">
        <w:rPr>
          <w:rFonts w:ascii="Arial" w:hAnsi="Arial" w:cs="Arial"/>
          <w:sz w:val="20"/>
          <w:szCs w:val="20"/>
        </w:rPr>
        <w:t xml:space="preserve">. We urge the CMS to </w:t>
      </w:r>
      <w:r w:rsidRPr="00CF059D">
        <w:rPr>
          <w:rFonts w:ascii="Arial" w:hAnsi="Arial" w:cs="Arial"/>
          <w:sz w:val="20"/>
          <w:szCs w:val="20"/>
        </w:rPr>
        <w:t xml:space="preserve">continue </w:t>
      </w:r>
      <w:r w:rsidR="00F74EB4">
        <w:rPr>
          <w:rFonts w:ascii="Arial" w:hAnsi="Arial" w:cs="Arial"/>
          <w:sz w:val="20"/>
          <w:szCs w:val="20"/>
        </w:rPr>
        <w:t>allowing NPPs to provide services</w:t>
      </w:r>
      <w:r w:rsidRPr="00CF059D">
        <w:rPr>
          <w:rFonts w:ascii="Arial" w:hAnsi="Arial" w:cs="Arial"/>
          <w:sz w:val="20"/>
          <w:szCs w:val="20"/>
        </w:rPr>
        <w:t xml:space="preserve"> with broader supervision privileges. </w:t>
      </w:r>
    </w:p>
    <w:p w14:paraId="7E43E56A" w14:textId="77777777" w:rsidR="00CF059D" w:rsidRDefault="00CF059D" w:rsidP="00A81F9B">
      <w:pPr>
        <w:widowControl w:val="0"/>
        <w:autoSpaceDE w:val="0"/>
        <w:autoSpaceDN w:val="0"/>
        <w:spacing w:before="22" w:line="259" w:lineRule="auto"/>
        <w:rPr>
          <w:rFonts w:ascii="Arial" w:eastAsia="Calibri" w:hAnsi="Arial" w:cs="Arial"/>
          <w:b/>
          <w:bCs/>
          <w:smallCaps/>
          <w:sz w:val="20"/>
          <w:szCs w:val="20"/>
          <w:u w:val="single"/>
        </w:rPr>
      </w:pPr>
    </w:p>
    <w:p w14:paraId="61E20686" w14:textId="77777777" w:rsidR="00686ADD" w:rsidRPr="00686ADD" w:rsidRDefault="00686ADD" w:rsidP="00686ADD">
      <w:pPr>
        <w:widowControl w:val="0"/>
        <w:autoSpaceDE w:val="0"/>
        <w:autoSpaceDN w:val="0"/>
        <w:spacing w:before="22" w:line="259" w:lineRule="auto"/>
        <w:rPr>
          <w:rFonts w:ascii="Arial" w:eastAsia="Calibri" w:hAnsi="Arial" w:cs="Arial"/>
          <w:b/>
          <w:bCs/>
          <w:smallCaps/>
          <w:sz w:val="20"/>
          <w:szCs w:val="20"/>
          <w:u w:val="single"/>
        </w:rPr>
      </w:pPr>
      <w:bookmarkStart w:id="4" w:name="_Toc112771456"/>
      <w:r w:rsidRPr="00686ADD">
        <w:rPr>
          <w:rFonts w:ascii="Arial" w:eastAsia="Calibri" w:hAnsi="Arial" w:cs="Arial"/>
          <w:b/>
          <w:bCs/>
          <w:smallCaps/>
          <w:sz w:val="20"/>
          <w:szCs w:val="20"/>
          <w:u w:val="single"/>
        </w:rPr>
        <w:t>Outpatient Quality Reporting (OQR) Program</w:t>
      </w:r>
      <w:bookmarkEnd w:id="4"/>
    </w:p>
    <w:p w14:paraId="37213432" w14:textId="77777777" w:rsidR="00686ADD" w:rsidRDefault="00686ADD" w:rsidP="00686ADD">
      <w:pPr>
        <w:rPr>
          <w:rFonts w:ascii="Arial" w:hAnsi="Arial" w:cs="Arial"/>
        </w:rPr>
      </w:pPr>
    </w:p>
    <w:p w14:paraId="0FDC4320" w14:textId="3665C79E" w:rsidR="00686ADD" w:rsidRPr="00686ADD" w:rsidRDefault="00686ADD" w:rsidP="00686ADD">
      <w:pPr>
        <w:rPr>
          <w:rFonts w:ascii="Arial" w:hAnsi="Arial" w:cs="Arial"/>
          <w:sz w:val="20"/>
          <w:szCs w:val="20"/>
        </w:rPr>
      </w:pPr>
      <w:r>
        <w:rPr>
          <w:rFonts w:ascii="Arial" w:hAnsi="Arial" w:cs="Arial"/>
          <w:sz w:val="20"/>
          <w:szCs w:val="20"/>
        </w:rPr>
        <w:t xml:space="preserve">Although the </w:t>
      </w:r>
      <w:r w:rsidRPr="00686ADD">
        <w:rPr>
          <w:rFonts w:ascii="Arial" w:hAnsi="Arial" w:cs="Arial"/>
          <w:sz w:val="20"/>
          <w:szCs w:val="20"/>
        </w:rPr>
        <w:t xml:space="preserve">CMS does not propose to adopt </w:t>
      </w:r>
      <w:r w:rsidR="000A0EC9">
        <w:rPr>
          <w:rFonts w:ascii="Arial" w:hAnsi="Arial" w:cs="Arial"/>
          <w:sz w:val="20"/>
          <w:szCs w:val="20"/>
        </w:rPr>
        <w:t xml:space="preserve">any new measures </w:t>
      </w:r>
      <w:r w:rsidRPr="00686ADD">
        <w:rPr>
          <w:rFonts w:ascii="Arial" w:hAnsi="Arial" w:cs="Arial"/>
          <w:sz w:val="20"/>
          <w:szCs w:val="20"/>
        </w:rPr>
        <w:t>or remove any measures from the OQR</w:t>
      </w:r>
      <w:r>
        <w:rPr>
          <w:rFonts w:ascii="Arial" w:hAnsi="Arial" w:cs="Arial"/>
          <w:sz w:val="20"/>
          <w:szCs w:val="20"/>
        </w:rPr>
        <w:t xml:space="preserve"> the agency</w:t>
      </w:r>
      <w:r w:rsidRPr="00686ADD">
        <w:rPr>
          <w:rFonts w:ascii="Arial" w:hAnsi="Arial" w:cs="Arial"/>
          <w:sz w:val="20"/>
          <w:szCs w:val="20"/>
        </w:rPr>
        <w:t xml:space="preserve"> </w:t>
      </w:r>
      <w:r>
        <w:rPr>
          <w:rFonts w:ascii="Arial" w:hAnsi="Arial" w:cs="Arial"/>
          <w:sz w:val="20"/>
          <w:szCs w:val="20"/>
        </w:rPr>
        <w:t>p</w:t>
      </w:r>
      <w:r w:rsidRPr="00686ADD">
        <w:rPr>
          <w:rFonts w:ascii="Arial" w:hAnsi="Arial" w:cs="Arial"/>
          <w:sz w:val="20"/>
          <w:szCs w:val="20"/>
        </w:rPr>
        <w:t>ropose</w:t>
      </w:r>
      <w:r>
        <w:rPr>
          <w:rFonts w:ascii="Arial" w:hAnsi="Arial" w:cs="Arial"/>
          <w:sz w:val="20"/>
          <w:szCs w:val="20"/>
        </w:rPr>
        <w:t>s</w:t>
      </w:r>
      <w:r w:rsidRPr="00686ADD">
        <w:rPr>
          <w:rFonts w:ascii="Arial" w:hAnsi="Arial" w:cs="Arial"/>
          <w:sz w:val="20"/>
          <w:szCs w:val="20"/>
        </w:rPr>
        <w:t xml:space="preserve"> to modify one previously</w:t>
      </w:r>
      <w:r w:rsidR="000A0EC9">
        <w:rPr>
          <w:rFonts w:ascii="Arial" w:hAnsi="Arial" w:cs="Arial"/>
          <w:sz w:val="20"/>
          <w:szCs w:val="20"/>
        </w:rPr>
        <w:t xml:space="preserve"> </w:t>
      </w:r>
      <w:r w:rsidRPr="00686ADD">
        <w:rPr>
          <w:rFonts w:ascii="Arial" w:hAnsi="Arial" w:cs="Arial"/>
          <w:sz w:val="20"/>
          <w:szCs w:val="20"/>
        </w:rPr>
        <w:t>adopted measure and requests feedback on potential changes to the OQR.</w:t>
      </w:r>
    </w:p>
    <w:p w14:paraId="362EA237" w14:textId="77777777" w:rsidR="00686ADD" w:rsidRDefault="00686ADD" w:rsidP="00686ADD">
      <w:pPr>
        <w:widowControl w:val="0"/>
        <w:autoSpaceDE w:val="0"/>
        <w:autoSpaceDN w:val="0"/>
        <w:spacing w:before="22" w:line="259" w:lineRule="auto"/>
        <w:rPr>
          <w:rFonts w:ascii="Arial" w:eastAsia="Calibri" w:hAnsi="Arial" w:cs="Arial"/>
          <w:b/>
          <w:bCs/>
          <w:smallCaps/>
          <w:sz w:val="20"/>
          <w:szCs w:val="20"/>
          <w:u w:val="single"/>
        </w:rPr>
      </w:pPr>
      <w:bookmarkStart w:id="5" w:name="_Toc112771457"/>
    </w:p>
    <w:p w14:paraId="1007D7C1" w14:textId="5AF9A4A8" w:rsidR="00686ADD" w:rsidRPr="00686ADD" w:rsidRDefault="00686ADD" w:rsidP="00686ADD">
      <w:pPr>
        <w:widowControl w:val="0"/>
        <w:autoSpaceDE w:val="0"/>
        <w:autoSpaceDN w:val="0"/>
        <w:spacing w:before="22" w:line="259" w:lineRule="auto"/>
        <w:rPr>
          <w:rFonts w:ascii="Arial" w:eastAsia="Calibri" w:hAnsi="Arial" w:cs="Arial"/>
          <w:b/>
          <w:bCs/>
          <w:smallCaps/>
          <w:sz w:val="20"/>
          <w:szCs w:val="20"/>
          <w:u w:val="single"/>
        </w:rPr>
      </w:pPr>
      <w:r w:rsidRPr="00686ADD">
        <w:rPr>
          <w:rFonts w:ascii="Arial" w:eastAsia="Calibri" w:hAnsi="Arial" w:cs="Arial"/>
          <w:b/>
          <w:bCs/>
          <w:smallCaps/>
          <w:sz w:val="20"/>
          <w:szCs w:val="20"/>
          <w:u w:val="single"/>
        </w:rPr>
        <w:t>Proposal to Change Cataracts Measure from Mandatory to Voluntary</w:t>
      </w:r>
      <w:bookmarkEnd w:id="5"/>
    </w:p>
    <w:p w14:paraId="6C7439B8" w14:textId="77777777" w:rsidR="00686ADD" w:rsidRDefault="00686ADD" w:rsidP="00686ADD">
      <w:pPr>
        <w:rPr>
          <w:rFonts w:ascii="Arial" w:hAnsi="Arial" w:cs="Arial"/>
          <w:sz w:val="20"/>
          <w:szCs w:val="20"/>
        </w:rPr>
      </w:pPr>
    </w:p>
    <w:p w14:paraId="17ECB246" w14:textId="62E0FDC4" w:rsidR="00686ADD" w:rsidRPr="00686ADD" w:rsidRDefault="00686ADD" w:rsidP="00686ADD">
      <w:pPr>
        <w:rPr>
          <w:rFonts w:ascii="Arial" w:hAnsi="Arial" w:cs="Arial"/>
          <w:sz w:val="20"/>
          <w:szCs w:val="20"/>
        </w:rPr>
      </w:pPr>
      <w:r w:rsidRPr="00686ADD">
        <w:rPr>
          <w:rFonts w:ascii="Arial" w:hAnsi="Arial" w:cs="Arial"/>
          <w:sz w:val="20"/>
          <w:szCs w:val="20"/>
        </w:rPr>
        <w:t xml:space="preserve">The CMS proposes to allow for voluntary rather than mandatory reporting of the Cataracts: Improvement in Patient’s Visual Function within 90 Days Following Cataract Surgery (OP-31/ASC-11) beginning with the CY 2027 payment determination (CY 2025 reporting period). The measure was initially adopted for voluntary reporting in the CY 2015 OPPS/ASC final rule, then finalized for mandatory reporting beginning with the CY 2025 reporting period in last year’s final rule despite the measure’s significant shortcomings. </w:t>
      </w:r>
    </w:p>
    <w:p w14:paraId="6E7FF2E1" w14:textId="77777777" w:rsidR="00686ADD" w:rsidRPr="00686ADD" w:rsidRDefault="00686ADD" w:rsidP="00686ADD">
      <w:pPr>
        <w:rPr>
          <w:rFonts w:ascii="Arial" w:hAnsi="Arial" w:cs="Arial"/>
          <w:sz w:val="20"/>
          <w:szCs w:val="20"/>
        </w:rPr>
      </w:pPr>
    </w:p>
    <w:p w14:paraId="3D959E92" w14:textId="57D44792" w:rsidR="00686ADD" w:rsidRPr="00686ADD" w:rsidRDefault="00686ADD" w:rsidP="00686ADD">
      <w:pPr>
        <w:rPr>
          <w:rFonts w:ascii="Arial" w:hAnsi="Arial" w:cs="Arial"/>
          <w:sz w:val="20"/>
          <w:szCs w:val="20"/>
        </w:rPr>
      </w:pPr>
      <w:r w:rsidRPr="00686ADD">
        <w:rPr>
          <w:rFonts w:ascii="Arial" w:hAnsi="Arial" w:cs="Arial"/>
          <w:sz w:val="20"/>
          <w:szCs w:val="20"/>
        </w:rPr>
        <w:t xml:space="preserve">The </w:t>
      </w:r>
      <w:r>
        <w:rPr>
          <w:rFonts w:ascii="Arial" w:hAnsi="Arial" w:cs="Arial"/>
          <w:sz w:val="20"/>
          <w:szCs w:val="20"/>
        </w:rPr>
        <w:t>M</w:t>
      </w:r>
      <w:r w:rsidRPr="00686ADD">
        <w:rPr>
          <w:rFonts w:ascii="Arial" w:hAnsi="Arial" w:cs="Arial"/>
          <w:sz w:val="20"/>
          <w:szCs w:val="20"/>
        </w:rPr>
        <w:t xml:space="preserve">HA supports </w:t>
      </w:r>
      <w:r>
        <w:rPr>
          <w:rFonts w:ascii="Arial" w:hAnsi="Arial" w:cs="Arial"/>
          <w:sz w:val="20"/>
          <w:szCs w:val="20"/>
        </w:rPr>
        <w:t xml:space="preserve">the </w:t>
      </w:r>
      <w:r w:rsidRPr="00686ADD">
        <w:rPr>
          <w:rFonts w:ascii="Arial" w:hAnsi="Arial" w:cs="Arial"/>
          <w:sz w:val="20"/>
          <w:szCs w:val="20"/>
        </w:rPr>
        <w:t xml:space="preserve">CMS proposal to no longer require reporting of this measure. While the agency suggests that it makes this proposal due to ongoing concerns about the reporting burden of this measure </w:t>
      </w:r>
      <w:r>
        <w:rPr>
          <w:rFonts w:ascii="Arial" w:hAnsi="Arial" w:cs="Arial"/>
          <w:sz w:val="20"/>
          <w:szCs w:val="20"/>
        </w:rPr>
        <w:t>due to</w:t>
      </w:r>
      <w:r w:rsidRPr="00686ADD">
        <w:rPr>
          <w:rFonts w:ascii="Arial" w:hAnsi="Arial" w:cs="Arial"/>
          <w:sz w:val="20"/>
          <w:szCs w:val="20"/>
        </w:rPr>
        <w:t xml:space="preserve"> national staffing and medical supply shortages as well as changes in patient case volumes—which are legitimate challenges—the measure continues to suffer from the same deficiencies as when it was first proposed for adoption that significantly limit its utility. The rationale for initially adopting the measure for voluntary reporting only was based on several concerns, including:</w:t>
      </w:r>
    </w:p>
    <w:p w14:paraId="2FF11232" w14:textId="77777777" w:rsidR="00686ADD" w:rsidRPr="00686ADD" w:rsidRDefault="00686ADD" w:rsidP="00686ADD">
      <w:pPr>
        <w:rPr>
          <w:rFonts w:ascii="Arial" w:hAnsi="Arial" w:cs="Arial"/>
          <w:sz w:val="20"/>
          <w:szCs w:val="20"/>
        </w:rPr>
      </w:pPr>
    </w:p>
    <w:p w14:paraId="4E53C2C2" w14:textId="77777777" w:rsidR="00686ADD" w:rsidRPr="00F462EB" w:rsidRDefault="00686ADD" w:rsidP="00F462EB">
      <w:pPr>
        <w:pStyle w:val="ListParagraph"/>
        <w:numPr>
          <w:ilvl w:val="0"/>
          <w:numId w:val="43"/>
        </w:numPr>
        <w:rPr>
          <w:rFonts w:ascii="Arial" w:hAnsi="Arial" w:cs="Arial"/>
          <w:sz w:val="20"/>
          <w:szCs w:val="20"/>
        </w:rPr>
      </w:pPr>
      <w:r w:rsidRPr="00F462EB">
        <w:rPr>
          <w:rFonts w:ascii="Arial" w:hAnsi="Arial" w:cs="Arial"/>
          <w:sz w:val="20"/>
          <w:szCs w:val="20"/>
        </w:rPr>
        <w:t xml:space="preserve">The measure is operationally difficult for hospitals to collect and report. </w:t>
      </w:r>
    </w:p>
    <w:p w14:paraId="7E6367F6" w14:textId="24F9B624" w:rsidR="00686ADD" w:rsidRPr="00F462EB" w:rsidRDefault="00686ADD" w:rsidP="00F462EB">
      <w:pPr>
        <w:pStyle w:val="ListParagraph"/>
        <w:numPr>
          <w:ilvl w:val="0"/>
          <w:numId w:val="43"/>
        </w:numPr>
        <w:rPr>
          <w:rFonts w:ascii="Arial" w:hAnsi="Arial" w:cs="Arial"/>
          <w:sz w:val="20"/>
          <w:szCs w:val="20"/>
        </w:rPr>
      </w:pPr>
      <w:r w:rsidRPr="00F462EB">
        <w:rPr>
          <w:rFonts w:ascii="Arial" w:hAnsi="Arial" w:cs="Arial"/>
          <w:sz w:val="20"/>
          <w:szCs w:val="20"/>
        </w:rPr>
        <w:t xml:space="preserve">The results of the survey used to assess the </w:t>
      </w:r>
      <w:r w:rsidR="00F462EB">
        <w:rPr>
          <w:rFonts w:ascii="Arial" w:hAnsi="Arial" w:cs="Arial"/>
          <w:sz w:val="20"/>
          <w:szCs w:val="20"/>
        </w:rPr>
        <w:t xml:space="preserve">patient’s </w:t>
      </w:r>
      <w:r w:rsidRPr="00F462EB">
        <w:rPr>
          <w:rFonts w:ascii="Arial" w:hAnsi="Arial" w:cs="Arial"/>
          <w:sz w:val="20"/>
          <w:szCs w:val="20"/>
        </w:rPr>
        <w:t>pre-operative and post-operative visual function were not consistently shared across clinicians, making it difficult for hospitals to have knowledge of the visual function of the patient before and after surgery.</w:t>
      </w:r>
    </w:p>
    <w:p w14:paraId="46984041" w14:textId="77777777" w:rsidR="00686ADD" w:rsidRPr="00F462EB" w:rsidRDefault="00686ADD" w:rsidP="00F462EB">
      <w:pPr>
        <w:pStyle w:val="ListParagraph"/>
        <w:numPr>
          <w:ilvl w:val="0"/>
          <w:numId w:val="43"/>
        </w:numPr>
        <w:rPr>
          <w:rFonts w:ascii="Arial" w:hAnsi="Arial" w:cs="Arial"/>
          <w:sz w:val="20"/>
          <w:szCs w:val="20"/>
        </w:rPr>
      </w:pPr>
      <w:r w:rsidRPr="00F462EB">
        <w:rPr>
          <w:rFonts w:ascii="Arial" w:hAnsi="Arial" w:cs="Arial"/>
          <w:sz w:val="20"/>
          <w:szCs w:val="20"/>
        </w:rPr>
        <w:t>Clinicians used inconsistent surveys to assess visual function, as the measure allows the use of any validated survey.</w:t>
      </w:r>
    </w:p>
    <w:p w14:paraId="5F5F67A4" w14:textId="1AEA24DA" w:rsidR="00686ADD" w:rsidRDefault="00686ADD" w:rsidP="00686ADD">
      <w:pPr>
        <w:rPr>
          <w:rFonts w:ascii="Arial" w:hAnsi="Arial" w:cs="Arial"/>
          <w:sz w:val="20"/>
          <w:szCs w:val="20"/>
        </w:rPr>
      </w:pPr>
      <w:r w:rsidRPr="00686ADD">
        <w:rPr>
          <w:rFonts w:ascii="Arial" w:hAnsi="Arial" w:cs="Arial"/>
          <w:sz w:val="20"/>
          <w:szCs w:val="20"/>
        </w:rPr>
        <w:t xml:space="preserve">The measure’s specifications remain unchanged, and </w:t>
      </w:r>
      <w:r w:rsidR="00F462EB">
        <w:rPr>
          <w:rFonts w:ascii="Arial" w:hAnsi="Arial" w:cs="Arial"/>
          <w:sz w:val="20"/>
          <w:szCs w:val="20"/>
        </w:rPr>
        <w:t xml:space="preserve">the </w:t>
      </w:r>
      <w:r w:rsidRPr="00686ADD">
        <w:rPr>
          <w:rFonts w:ascii="Arial" w:hAnsi="Arial" w:cs="Arial"/>
          <w:sz w:val="20"/>
          <w:szCs w:val="20"/>
        </w:rPr>
        <w:t xml:space="preserve">CMS has not adequately </w:t>
      </w:r>
      <w:r w:rsidR="00F462EB">
        <w:rPr>
          <w:rFonts w:ascii="Arial" w:hAnsi="Arial" w:cs="Arial"/>
          <w:sz w:val="20"/>
          <w:szCs w:val="20"/>
        </w:rPr>
        <w:t>addressed with this measure</w:t>
      </w:r>
      <w:r w:rsidRPr="00686ADD">
        <w:rPr>
          <w:rFonts w:ascii="Arial" w:hAnsi="Arial" w:cs="Arial"/>
          <w:sz w:val="20"/>
          <w:szCs w:val="20"/>
        </w:rPr>
        <w:t xml:space="preserve">. In this proposed rule, </w:t>
      </w:r>
      <w:r w:rsidR="00F462EB">
        <w:rPr>
          <w:rFonts w:ascii="Arial" w:hAnsi="Arial" w:cs="Arial"/>
          <w:sz w:val="20"/>
          <w:szCs w:val="20"/>
        </w:rPr>
        <w:t xml:space="preserve">the </w:t>
      </w:r>
      <w:r w:rsidRPr="00686ADD">
        <w:rPr>
          <w:rFonts w:ascii="Arial" w:hAnsi="Arial" w:cs="Arial"/>
          <w:sz w:val="20"/>
          <w:szCs w:val="20"/>
        </w:rPr>
        <w:t xml:space="preserve">CMS notes that it plans to continue to evaluate this policy moving forward and consider mandatory reporting after the end of the PHE, but unless and until </w:t>
      </w:r>
      <w:r w:rsidR="00F462EB">
        <w:rPr>
          <w:rFonts w:ascii="Arial" w:hAnsi="Arial" w:cs="Arial"/>
          <w:sz w:val="20"/>
          <w:szCs w:val="20"/>
        </w:rPr>
        <w:t xml:space="preserve">the </w:t>
      </w:r>
      <w:r w:rsidRPr="00686ADD">
        <w:rPr>
          <w:rFonts w:ascii="Arial" w:hAnsi="Arial" w:cs="Arial"/>
          <w:sz w:val="20"/>
          <w:szCs w:val="20"/>
        </w:rPr>
        <w:t xml:space="preserve">CMS can demonstrate that the problems with this measure have been ameliorated, the </w:t>
      </w:r>
      <w:r w:rsidR="00F462EB">
        <w:rPr>
          <w:rFonts w:ascii="Arial" w:hAnsi="Arial" w:cs="Arial"/>
          <w:sz w:val="20"/>
          <w:szCs w:val="20"/>
        </w:rPr>
        <w:t>M</w:t>
      </w:r>
      <w:r w:rsidRPr="00686ADD">
        <w:rPr>
          <w:rFonts w:ascii="Arial" w:hAnsi="Arial" w:cs="Arial"/>
          <w:sz w:val="20"/>
          <w:szCs w:val="20"/>
        </w:rPr>
        <w:t>HA does not support the required reporting of this measure in any future year.</w:t>
      </w:r>
    </w:p>
    <w:p w14:paraId="030008A4" w14:textId="77777777" w:rsidR="00686ADD" w:rsidRPr="00686ADD" w:rsidRDefault="00686ADD" w:rsidP="00686ADD">
      <w:pPr>
        <w:rPr>
          <w:rFonts w:ascii="Arial" w:hAnsi="Arial" w:cs="Arial"/>
          <w:sz w:val="20"/>
          <w:szCs w:val="20"/>
        </w:rPr>
      </w:pPr>
    </w:p>
    <w:p w14:paraId="6A17EFF1" w14:textId="77777777" w:rsidR="00686ADD" w:rsidRPr="00686ADD" w:rsidRDefault="00686ADD" w:rsidP="00686ADD">
      <w:pPr>
        <w:widowControl w:val="0"/>
        <w:autoSpaceDE w:val="0"/>
        <w:autoSpaceDN w:val="0"/>
        <w:spacing w:before="22" w:line="259" w:lineRule="auto"/>
        <w:rPr>
          <w:rFonts w:ascii="Arial" w:eastAsia="Calibri" w:hAnsi="Arial" w:cs="Arial"/>
          <w:b/>
          <w:bCs/>
          <w:smallCaps/>
          <w:sz w:val="20"/>
          <w:szCs w:val="20"/>
          <w:u w:val="single"/>
        </w:rPr>
      </w:pPr>
      <w:bookmarkStart w:id="6" w:name="_Toc112771458"/>
      <w:r w:rsidRPr="00686ADD">
        <w:rPr>
          <w:rFonts w:ascii="Arial" w:eastAsia="Calibri" w:hAnsi="Arial" w:cs="Arial"/>
          <w:b/>
          <w:bCs/>
          <w:smallCaps/>
          <w:sz w:val="20"/>
          <w:szCs w:val="20"/>
          <w:u w:val="single"/>
        </w:rPr>
        <w:t>Request for Comment: Measure for Outpatient Volume</w:t>
      </w:r>
      <w:bookmarkEnd w:id="6"/>
    </w:p>
    <w:p w14:paraId="290CEEC4" w14:textId="77777777" w:rsidR="00686ADD" w:rsidRDefault="00686ADD" w:rsidP="00686ADD">
      <w:pPr>
        <w:rPr>
          <w:rFonts w:ascii="Arial" w:hAnsi="Arial" w:cs="Arial"/>
        </w:rPr>
      </w:pPr>
    </w:p>
    <w:p w14:paraId="335CE9F0" w14:textId="3E2366E7" w:rsidR="00686ADD" w:rsidRPr="00F462EB" w:rsidRDefault="00F462EB" w:rsidP="00686ADD">
      <w:pPr>
        <w:rPr>
          <w:rFonts w:ascii="Arial" w:hAnsi="Arial" w:cs="Arial"/>
          <w:sz w:val="20"/>
          <w:szCs w:val="20"/>
        </w:rPr>
      </w:pPr>
      <w:r>
        <w:rPr>
          <w:rFonts w:ascii="Arial" w:hAnsi="Arial" w:cs="Arial"/>
          <w:sz w:val="20"/>
          <w:szCs w:val="20"/>
        </w:rPr>
        <w:t xml:space="preserve">The </w:t>
      </w:r>
      <w:r w:rsidR="00686ADD" w:rsidRPr="00F462EB">
        <w:rPr>
          <w:rFonts w:ascii="Arial" w:hAnsi="Arial" w:cs="Arial"/>
          <w:sz w:val="20"/>
          <w:szCs w:val="20"/>
        </w:rPr>
        <w:t>CMS seeks comment on whether it should consider adopting a measure assessing procedure volume for the OQR and ASCQR. The agency explains that surgical procedures are increasingly moving into the outpatient s</w:t>
      </w:r>
      <w:r w:rsidR="00F66260">
        <w:rPr>
          <w:rFonts w:ascii="Arial" w:hAnsi="Arial" w:cs="Arial"/>
          <w:sz w:val="20"/>
          <w:szCs w:val="20"/>
        </w:rPr>
        <w:t>etting</w:t>
      </w:r>
      <w:r w:rsidR="00686ADD" w:rsidRPr="00F462EB">
        <w:rPr>
          <w:rFonts w:ascii="Arial" w:hAnsi="Arial" w:cs="Arial"/>
          <w:sz w:val="20"/>
          <w:szCs w:val="20"/>
        </w:rPr>
        <w:t>, and thus believes it is important to track the volume of outpatient procedures. One way to do this would be to re-implement the previously removed measures from the OQR and A</w:t>
      </w:r>
      <w:r w:rsidR="00F66260">
        <w:rPr>
          <w:rFonts w:ascii="Arial" w:hAnsi="Arial" w:cs="Arial"/>
          <w:sz w:val="20"/>
          <w:szCs w:val="20"/>
        </w:rPr>
        <w:t xml:space="preserve">mbulatory Surgical Center (ASC) </w:t>
      </w:r>
      <w:r w:rsidR="00686ADD" w:rsidRPr="00F462EB">
        <w:rPr>
          <w:rFonts w:ascii="Arial" w:hAnsi="Arial" w:cs="Arial"/>
          <w:sz w:val="20"/>
          <w:szCs w:val="20"/>
        </w:rPr>
        <w:t>QR that assessed surgical volumes; another would be to create a novel measure related to procedure volume.</w:t>
      </w:r>
    </w:p>
    <w:p w14:paraId="0E87598F" w14:textId="77777777" w:rsidR="00686ADD" w:rsidRPr="00F462EB" w:rsidRDefault="00686ADD" w:rsidP="00686ADD">
      <w:pPr>
        <w:rPr>
          <w:rFonts w:ascii="Arial" w:hAnsi="Arial" w:cs="Arial"/>
          <w:sz w:val="20"/>
          <w:szCs w:val="20"/>
        </w:rPr>
      </w:pPr>
    </w:p>
    <w:p w14:paraId="79836D5B" w14:textId="494B0509" w:rsidR="00686ADD" w:rsidRPr="00F462EB" w:rsidRDefault="00F66260" w:rsidP="00686ADD">
      <w:pPr>
        <w:rPr>
          <w:rFonts w:ascii="Arial" w:hAnsi="Arial" w:cs="Arial"/>
          <w:sz w:val="20"/>
          <w:szCs w:val="20"/>
        </w:rPr>
      </w:pPr>
      <w:r>
        <w:rPr>
          <w:rFonts w:ascii="Arial" w:hAnsi="Arial" w:cs="Arial"/>
          <w:sz w:val="20"/>
          <w:szCs w:val="20"/>
        </w:rPr>
        <w:t xml:space="preserve">The </w:t>
      </w:r>
      <w:r w:rsidR="00686ADD" w:rsidRPr="00F462EB">
        <w:rPr>
          <w:rFonts w:ascii="Arial" w:hAnsi="Arial" w:cs="Arial"/>
          <w:sz w:val="20"/>
          <w:szCs w:val="20"/>
        </w:rPr>
        <w:t>CMS acknowledges in the proposed rule that “quality measurement efforts moved away from procedure volume as it was considered simply a proxy for quality rather than directly measuring outcomes,” and that while larger facility surgical volume may be associated with better outcomes, these outcomes are likely attributable to other characteristics that are proven to improve care (such as effective care teams and robust surveillance). However, the agency also reasons that a volume measure would provide information to Medicare beneficiaries and other interested parties on numbers and proportions of procedures by category performed by individual facilities.</w:t>
      </w:r>
    </w:p>
    <w:p w14:paraId="420734EB" w14:textId="77777777" w:rsidR="00686ADD" w:rsidRPr="00F462EB" w:rsidRDefault="00686ADD" w:rsidP="00686ADD">
      <w:pPr>
        <w:rPr>
          <w:rFonts w:ascii="Arial" w:hAnsi="Arial" w:cs="Arial"/>
          <w:sz w:val="20"/>
          <w:szCs w:val="20"/>
        </w:rPr>
      </w:pPr>
    </w:p>
    <w:p w14:paraId="2985F4C3" w14:textId="32E808EA" w:rsidR="00686ADD" w:rsidRPr="00F462EB" w:rsidRDefault="00686ADD" w:rsidP="00686ADD">
      <w:pPr>
        <w:rPr>
          <w:rFonts w:ascii="Arial" w:hAnsi="Arial" w:cs="Arial"/>
          <w:sz w:val="20"/>
          <w:szCs w:val="20"/>
        </w:rPr>
      </w:pPr>
      <w:r w:rsidRPr="00F462EB">
        <w:rPr>
          <w:rFonts w:ascii="Arial" w:hAnsi="Arial" w:cs="Arial"/>
          <w:sz w:val="20"/>
          <w:szCs w:val="20"/>
        </w:rPr>
        <w:t xml:space="preserve">The </w:t>
      </w:r>
      <w:r w:rsidR="00F66260">
        <w:rPr>
          <w:rFonts w:ascii="Arial" w:hAnsi="Arial" w:cs="Arial"/>
          <w:sz w:val="20"/>
          <w:szCs w:val="20"/>
        </w:rPr>
        <w:t>M</w:t>
      </w:r>
      <w:r w:rsidRPr="00F462EB">
        <w:rPr>
          <w:rFonts w:ascii="Arial" w:hAnsi="Arial" w:cs="Arial"/>
          <w:sz w:val="20"/>
          <w:szCs w:val="20"/>
        </w:rPr>
        <w:t xml:space="preserve">HA does not support the re-implementation of existing volume measures or the development of new volume measures for the OQR or ASCQR as methods to assess quality of care. We would be especially concerned by using volume measures for performance comparison purposes – including hospital star ratings – for a variety of reasons.  </w:t>
      </w:r>
    </w:p>
    <w:p w14:paraId="130BAB11" w14:textId="77777777" w:rsidR="00686ADD" w:rsidRPr="00F462EB" w:rsidRDefault="00686ADD" w:rsidP="00686ADD">
      <w:pPr>
        <w:rPr>
          <w:rFonts w:ascii="Arial" w:hAnsi="Arial" w:cs="Arial"/>
          <w:sz w:val="20"/>
          <w:szCs w:val="20"/>
        </w:rPr>
      </w:pPr>
    </w:p>
    <w:p w14:paraId="41AE76EE" w14:textId="688FB081" w:rsidR="00686ADD" w:rsidRPr="00F462EB" w:rsidRDefault="00686ADD" w:rsidP="00686ADD">
      <w:pPr>
        <w:rPr>
          <w:rFonts w:ascii="Arial" w:hAnsi="Arial" w:cs="Arial"/>
          <w:sz w:val="20"/>
          <w:szCs w:val="20"/>
        </w:rPr>
      </w:pPr>
      <w:r w:rsidRPr="00F462EB">
        <w:rPr>
          <w:rFonts w:ascii="Arial" w:hAnsi="Arial" w:cs="Arial"/>
          <w:sz w:val="20"/>
          <w:szCs w:val="20"/>
        </w:rPr>
        <w:t xml:space="preserve">Volume measures are inconsistent with the important and strategic goals of </w:t>
      </w:r>
      <w:r w:rsidR="00F66260">
        <w:rPr>
          <w:rFonts w:ascii="Arial" w:hAnsi="Arial" w:cs="Arial"/>
          <w:sz w:val="20"/>
          <w:szCs w:val="20"/>
        </w:rPr>
        <w:t xml:space="preserve">the </w:t>
      </w:r>
      <w:r w:rsidRPr="00F462EB">
        <w:rPr>
          <w:rFonts w:ascii="Arial" w:hAnsi="Arial" w:cs="Arial"/>
          <w:sz w:val="20"/>
          <w:szCs w:val="20"/>
        </w:rPr>
        <w:t xml:space="preserve">CMS’ own Meaningful Measures 2.0 framework, and we are concerned that the agency would consider moving forward with an idea that is so incongruous with the significant work it has undertaken to streamline and focus its quality reporting programs on the most important and useful measures. According to </w:t>
      </w:r>
      <w:r w:rsidR="00F66260">
        <w:rPr>
          <w:rFonts w:ascii="Arial" w:hAnsi="Arial" w:cs="Arial"/>
          <w:sz w:val="20"/>
          <w:szCs w:val="20"/>
        </w:rPr>
        <w:t xml:space="preserve">the </w:t>
      </w:r>
      <w:r w:rsidRPr="00F462EB">
        <w:rPr>
          <w:rFonts w:ascii="Arial" w:hAnsi="Arial" w:cs="Arial"/>
          <w:sz w:val="20"/>
          <w:szCs w:val="20"/>
        </w:rPr>
        <w:t xml:space="preserve">CMS, “Meaningful Measures 2.0 will promote innovation and modernization of all aspects of quality.” It would be diametrically contrary to this goal to pursue a measure that was removed years ago due to a lack of evidence linking the measure to improved clinical quality, and which was initially adopted before the National Quality Forum began reviewing measures for usefulness in </w:t>
      </w:r>
      <w:r w:rsidR="004114AA">
        <w:rPr>
          <w:rFonts w:ascii="Arial" w:hAnsi="Arial" w:cs="Arial"/>
          <w:sz w:val="20"/>
          <w:szCs w:val="20"/>
        </w:rPr>
        <w:t xml:space="preserve">the </w:t>
      </w:r>
      <w:r w:rsidRPr="00F462EB">
        <w:rPr>
          <w:rFonts w:ascii="Arial" w:hAnsi="Arial" w:cs="Arial"/>
          <w:sz w:val="20"/>
          <w:szCs w:val="20"/>
        </w:rPr>
        <w:t xml:space="preserve">CMS programs. In that intervening time, no definitive information has emerged about the exact volumes of procedures at which patient outcomes will improve significantly. As a result, any prescribed number of procedures against which a hospital is measured has a significant chance of being arbitrary. Performance comparisons based on those volumes also could mislead, rather than inform, the choice of facilities for patients. </w:t>
      </w:r>
    </w:p>
    <w:p w14:paraId="5D155470" w14:textId="77777777" w:rsidR="00686ADD" w:rsidRPr="00F462EB" w:rsidRDefault="00686ADD" w:rsidP="00686ADD">
      <w:pPr>
        <w:rPr>
          <w:rFonts w:ascii="Arial" w:hAnsi="Arial" w:cs="Arial"/>
          <w:sz w:val="20"/>
          <w:szCs w:val="20"/>
        </w:rPr>
      </w:pPr>
    </w:p>
    <w:p w14:paraId="16552D93" w14:textId="370AC3D3" w:rsidR="00686ADD" w:rsidRPr="00F462EB" w:rsidRDefault="00686ADD" w:rsidP="00686ADD">
      <w:pPr>
        <w:rPr>
          <w:rFonts w:ascii="Arial" w:hAnsi="Arial" w:cs="Arial"/>
          <w:sz w:val="20"/>
          <w:szCs w:val="20"/>
        </w:rPr>
      </w:pPr>
      <w:r w:rsidRPr="00F462EB">
        <w:rPr>
          <w:rFonts w:ascii="Arial" w:hAnsi="Arial" w:cs="Arial"/>
          <w:sz w:val="20"/>
          <w:szCs w:val="20"/>
        </w:rPr>
        <w:t xml:space="preserve">Furthermore, more </w:t>
      </w:r>
      <w:proofErr w:type="gramStart"/>
      <w:r w:rsidRPr="00F462EB">
        <w:rPr>
          <w:rFonts w:ascii="Arial" w:hAnsi="Arial" w:cs="Arial"/>
          <w:sz w:val="20"/>
          <w:szCs w:val="20"/>
        </w:rPr>
        <w:t>sophisticated</w:t>
      </w:r>
      <w:proofErr w:type="gramEnd"/>
      <w:r w:rsidRPr="00F462EB">
        <w:rPr>
          <w:rFonts w:ascii="Arial" w:hAnsi="Arial" w:cs="Arial"/>
          <w:sz w:val="20"/>
          <w:szCs w:val="20"/>
        </w:rPr>
        <w:t xml:space="preserve"> and meaningful measures of quality and safety of care have emerged, and we believe a modernized approach to measurement should look forward to these new approaches, rather than backwards at measures the agency already has concluded do not meaningfully advance quality and safety. </w:t>
      </w:r>
    </w:p>
    <w:p w14:paraId="5CC20E8F" w14:textId="77777777" w:rsidR="00686ADD" w:rsidRPr="00F462EB" w:rsidRDefault="00686ADD" w:rsidP="00686ADD">
      <w:pPr>
        <w:rPr>
          <w:rFonts w:ascii="Arial" w:hAnsi="Arial" w:cs="Arial"/>
          <w:sz w:val="20"/>
          <w:szCs w:val="20"/>
        </w:rPr>
      </w:pPr>
    </w:p>
    <w:p w14:paraId="1BB55998" w14:textId="46F8BEAF" w:rsidR="00686ADD" w:rsidRPr="00F462EB" w:rsidRDefault="00686ADD" w:rsidP="00686ADD">
      <w:pPr>
        <w:rPr>
          <w:rFonts w:ascii="Arial" w:hAnsi="Arial" w:cs="Arial"/>
          <w:sz w:val="20"/>
          <w:szCs w:val="20"/>
        </w:rPr>
      </w:pPr>
      <w:r w:rsidRPr="00F462EB">
        <w:rPr>
          <w:rFonts w:ascii="Arial" w:hAnsi="Arial" w:cs="Arial"/>
          <w:sz w:val="20"/>
          <w:szCs w:val="20"/>
        </w:rPr>
        <w:t xml:space="preserve">In addition, </w:t>
      </w:r>
      <w:r w:rsidR="004114AA">
        <w:rPr>
          <w:rFonts w:ascii="Arial" w:hAnsi="Arial" w:cs="Arial"/>
          <w:sz w:val="20"/>
          <w:szCs w:val="20"/>
        </w:rPr>
        <w:t xml:space="preserve">the </w:t>
      </w:r>
      <w:r w:rsidRPr="00F462EB">
        <w:rPr>
          <w:rFonts w:ascii="Arial" w:hAnsi="Arial" w:cs="Arial"/>
          <w:sz w:val="20"/>
          <w:szCs w:val="20"/>
        </w:rPr>
        <w:t xml:space="preserve">CMS also notes that its framework “will further shape the entire ecosystem of quality measures that drive value-based care.” </w:t>
      </w:r>
      <w:proofErr w:type="gramStart"/>
      <w:r w:rsidRPr="00F462EB">
        <w:rPr>
          <w:rFonts w:ascii="Arial" w:hAnsi="Arial" w:cs="Arial"/>
          <w:sz w:val="20"/>
          <w:szCs w:val="20"/>
        </w:rPr>
        <w:t>By definition, value-based</w:t>
      </w:r>
      <w:proofErr w:type="gramEnd"/>
      <w:r w:rsidRPr="00F462EB">
        <w:rPr>
          <w:rFonts w:ascii="Arial" w:hAnsi="Arial" w:cs="Arial"/>
          <w:sz w:val="20"/>
          <w:szCs w:val="20"/>
        </w:rPr>
        <w:t xml:space="preserve"> care replaces the traditional fee-for-service approach in which providers are paid based on the volume of services they deliver by instead focusing on health outcomes on a larger scale. </w:t>
      </w:r>
      <w:proofErr w:type="gramStart"/>
      <w:r w:rsidRPr="00F462EB">
        <w:rPr>
          <w:rFonts w:ascii="Arial" w:hAnsi="Arial" w:cs="Arial"/>
          <w:sz w:val="20"/>
          <w:szCs w:val="20"/>
        </w:rPr>
        <w:t>Thus</w:t>
      </w:r>
      <w:proofErr w:type="gramEnd"/>
      <w:r w:rsidRPr="00F462EB">
        <w:rPr>
          <w:rFonts w:ascii="Arial" w:hAnsi="Arial" w:cs="Arial"/>
          <w:sz w:val="20"/>
          <w:szCs w:val="20"/>
        </w:rPr>
        <w:t xml:space="preserve"> it is again inconsistent to consider measuring volume to inform a system seeking to improve outcomes. </w:t>
      </w:r>
    </w:p>
    <w:p w14:paraId="173AE74D" w14:textId="77777777" w:rsidR="00686ADD" w:rsidRPr="00F462EB" w:rsidRDefault="00686ADD" w:rsidP="00686ADD">
      <w:pPr>
        <w:rPr>
          <w:rFonts w:ascii="Arial" w:hAnsi="Arial" w:cs="Arial"/>
          <w:sz w:val="20"/>
          <w:szCs w:val="20"/>
        </w:rPr>
      </w:pPr>
    </w:p>
    <w:p w14:paraId="49C82899" w14:textId="31AC76EC" w:rsidR="00686ADD" w:rsidRDefault="00686ADD" w:rsidP="00686ADD">
      <w:pPr>
        <w:rPr>
          <w:rFonts w:ascii="Arial" w:hAnsi="Arial" w:cs="Arial"/>
          <w:sz w:val="20"/>
          <w:szCs w:val="20"/>
        </w:rPr>
      </w:pPr>
      <w:r w:rsidRPr="00F462EB">
        <w:rPr>
          <w:rFonts w:ascii="Arial" w:hAnsi="Arial" w:cs="Arial"/>
          <w:sz w:val="20"/>
          <w:szCs w:val="20"/>
        </w:rPr>
        <w:t xml:space="preserve">Finally, it is unclear how such a measure of volume would fit into </w:t>
      </w:r>
      <w:r w:rsidR="004114AA">
        <w:rPr>
          <w:rFonts w:ascii="Arial" w:hAnsi="Arial" w:cs="Arial"/>
          <w:sz w:val="20"/>
          <w:szCs w:val="20"/>
        </w:rPr>
        <w:t xml:space="preserve">the </w:t>
      </w:r>
      <w:r w:rsidRPr="00F462EB">
        <w:rPr>
          <w:rFonts w:ascii="Arial" w:hAnsi="Arial" w:cs="Arial"/>
          <w:sz w:val="20"/>
          <w:szCs w:val="20"/>
        </w:rPr>
        <w:t>CMS’ streamlined priorities in its 2.0 framework. We support the agency’s efforts to use only high-value quality measures that impact key quality domains and align measures across programs; no other CMS quality reporting program utilizes a measure regarding procedure volume.</w:t>
      </w:r>
    </w:p>
    <w:p w14:paraId="405B05FD" w14:textId="77777777" w:rsidR="004114AA" w:rsidRPr="00F462EB" w:rsidRDefault="004114AA" w:rsidP="00686ADD">
      <w:pPr>
        <w:rPr>
          <w:rFonts w:ascii="Arial" w:hAnsi="Arial" w:cs="Arial"/>
          <w:sz w:val="20"/>
          <w:szCs w:val="20"/>
        </w:rPr>
      </w:pPr>
    </w:p>
    <w:p w14:paraId="1ECA5531" w14:textId="25FADB65" w:rsidR="00686ADD" w:rsidRPr="004114AA" w:rsidRDefault="004114AA" w:rsidP="00686ADD">
      <w:pPr>
        <w:rPr>
          <w:rFonts w:ascii="Arial" w:hAnsi="Arial" w:cs="Arial"/>
          <w:b/>
          <w:bCs/>
          <w:sz w:val="20"/>
          <w:szCs w:val="20"/>
        </w:rPr>
      </w:pPr>
      <w:r w:rsidRPr="004114AA">
        <w:rPr>
          <w:rFonts w:ascii="Arial" w:hAnsi="Arial" w:cs="Arial"/>
          <w:b/>
          <w:bCs/>
          <w:sz w:val="20"/>
          <w:szCs w:val="20"/>
        </w:rPr>
        <w:t>The MHA</w:t>
      </w:r>
      <w:r w:rsidR="00686ADD" w:rsidRPr="004114AA">
        <w:rPr>
          <w:rFonts w:ascii="Arial" w:hAnsi="Arial" w:cs="Arial"/>
          <w:b/>
          <w:bCs/>
          <w:sz w:val="20"/>
          <w:szCs w:val="20"/>
        </w:rPr>
        <w:t xml:space="preserve"> urge</w:t>
      </w:r>
      <w:r w:rsidRPr="004114AA">
        <w:rPr>
          <w:rFonts w:ascii="Arial" w:hAnsi="Arial" w:cs="Arial"/>
          <w:b/>
          <w:bCs/>
          <w:sz w:val="20"/>
          <w:szCs w:val="20"/>
        </w:rPr>
        <w:t>s</w:t>
      </w:r>
      <w:r w:rsidR="00686ADD" w:rsidRPr="004114AA">
        <w:rPr>
          <w:rFonts w:ascii="Arial" w:hAnsi="Arial" w:cs="Arial"/>
          <w:b/>
          <w:bCs/>
          <w:sz w:val="20"/>
          <w:szCs w:val="20"/>
        </w:rPr>
        <w:t xml:space="preserve"> </w:t>
      </w:r>
      <w:r w:rsidRPr="004114AA">
        <w:rPr>
          <w:rFonts w:ascii="Arial" w:hAnsi="Arial" w:cs="Arial"/>
          <w:b/>
          <w:bCs/>
          <w:sz w:val="20"/>
          <w:szCs w:val="20"/>
        </w:rPr>
        <w:t xml:space="preserve">the </w:t>
      </w:r>
      <w:r w:rsidR="00686ADD" w:rsidRPr="004114AA">
        <w:rPr>
          <w:rFonts w:ascii="Arial" w:hAnsi="Arial" w:cs="Arial"/>
          <w:b/>
          <w:bCs/>
          <w:sz w:val="20"/>
          <w:szCs w:val="20"/>
        </w:rPr>
        <w:t xml:space="preserve">CMS to continue to support the priorities in its Meaningful Measures framework by focusing on high-value measures and avoid undoing the progress it has made to date by considering re-implementing measures without evidence linking them to improved outcomes. </w:t>
      </w:r>
    </w:p>
    <w:p w14:paraId="533309F3" w14:textId="77777777" w:rsidR="00686ADD" w:rsidRPr="00F462EB" w:rsidRDefault="00686ADD" w:rsidP="00686ADD">
      <w:pPr>
        <w:rPr>
          <w:rFonts w:ascii="Arial" w:hAnsi="Arial" w:cs="Arial"/>
          <w:sz w:val="20"/>
          <w:szCs w:val="20"/>
        </w:rPr>
      </w:pPr>
    </w:p>
    <w:p w14:paraId="64A08B46" w14:textId="35C88ED9" w:rsidR="00531102" w:rsidRDefault="006D213F" w:rsidP="00A81F9B">
      <w:pPr>
        <w:widowControl w:val="0"/>
        <w:autoSpaceDE w:val="0"/>
        <w:autoSpaceDN w:val="0"/>
        <w:spacing w:before="22" w:line="259" w:lineRule="auto"/>
        <w:rPr>
          <w:rFonts w:ascii="Arial" w:eastAsia="Calibri" w:hAnsi="Arial" w:cs="Arial"/>
          <w:b/>
          <w:bCs/>
          <w:smallCaps/>
          <w:sz w:val="20"/>
          <w:szCs w:val="20"/>
          <w:u w:val="single"/>
        </w:rPr>
      </w:pPr>
      <w:r w:rsidRPr="00AA12AB">
        <w:rPr>
          <w:rFonts w:ascii="Arial" w:eastAsia="Calibri" w:hAnsi="Arial" w:cs="Arial"/>
          <w:b/>
          <w:bCs/>
          <w:smallCaps/>
          <w:sz w:val="20"/>
          <w:szCs w:val="20"/>
          <w:u w:val="single"/>
        </w:rPr>
        <w:t xml:space="preserve">Closing the </w:t>
      </w:r>
      <w:r w:rsidR="00531102" w:rsidRPr="00AA12AB">
        <w:rPr>
          <w:rFonts w:ascii="Arial" w:eastAsia="Calibri" w:hAnsi="Arial" w:cs="Arial"/>
          <w:b/>
          <w:bCs/>
          <w:smallCaps/>
          <w:sz w:val="20"/>
          <w:szCs w:val="20"/>
          <w:u w:val="single"/>
        </w:rPr>
        <w:t xml:space="preserve">Health Equity </w:t>
      </w:r>
      <w:r w:rsidRPr="00AA12AB">
        <w:rPr>
          <w:rFonts w:ascii="Arial" w:eastAsia="Calibri" w:hAnsi="Arial" w:cs="Arial"/>
          <w:b/>
          <w:bCs/>
          <w:smallCaps/>
          <w:sz w:val="20"/>
          <w:szCs w:val="20"/>
          <w:u w:val="single"/>
        </w:rPr>
        <w:t>Gap</w:t>
      </w:r>
    </w:p>
    <w:p w14:paraId="5655E23B" w14:textId="77777777" w:rsidR="00682279" w:rsidRPr="00AA12AB" w:rsidRDefault="00682279" w:rsidP="00A81F9B">
      <w:pPr>
        <w:widowControl w:val="0"/>
        <w:autoSpaceDE w:val="0"/>
        <w:autoSpaceDN w:val="0"/>
        <w:spacing w:before="22" w:line="259" w:lineRule="auto"/>
        <w:rPr>
          <w:rFonts w:ascii="Arial" w:eastAsia="Calibri" w:hAnsi="Arial" w:cs="Arial"/>
          <w:b/>
          <w:bCs/>
          <w:smallCaps/>
          <w:sz w:val="20"/>
          <w:szCs w:val="20"/>
          <w:u w:val="single"/>
        </w:rPr>
      </w:pPr>
    </w:p>
    <w:p w14:paraId="1A9CE36D" w14:textId="467E3109" w:rsidR="003302F8" w:rsidRDefault="001C6E09" w:rsidP="001C2A1F">
      <w:pPr>
        <w:rPr>
          <w:rFonts w:ascii="Arial" w:hAnsi="Arial" w:cs="Arial"/>
          <w:sz w:val="20"/>
          <w:szCs w:val="20"/>
        </w:rPr>
      </w:pPr>
      <w:r>
        <w:rPr>
          <w:rFonts w:ascii="Arial" w:hAnsi="Arial" w:cs="Arial"/>
          <w:sz w:val="20"/>
          <w:szCs w:val="20"/>
        </w:rPr>
        <w:t xml:space="preserve">We </w:t>
      </w:r>
      <w:r w:rsidR="000F3B19" w:rsidRPr="001C6E09">
        <w:rPr>
          <w:rFonts w:ascii="Arial" w:hAnsi="Arial" w:cs="Arial"/>
          <w:sz w:val="20"/>
          <w:szCs w:val="20"/>
        </w:rPr>
        <w:t>encourage the CMS to reference</w:t>
      </w:r>
      <w:r w:rsidR="002D5C66" w:rsidRPr="001C6E09">
        <w:rPr>
          <w:rFonts w:ascii="Arial" w:hAnsi="Arial" w:cs="Arial"/>
          <w:sz w:val="20"/>
          <w:szCs w:val="20"/>
        </w:rPr>
        <w:t xml:space="preserve"> the </w:t>
      </w:r>
      <w:r>
        <w:rPr>
          <w:rFonts w:ascii="Arial" w:hAnsi="Arial" w:cs="Arial"/>
          <w:sz w:val="20"/>
          <w:szCs w:val="20"/>
        </w:rPr>
        <w:t xml:space="preserve">comments </w:t>
      </w:r>
      <w:r w:rsidR="00086401">
        <w:rPr>
          <w:rFonts w:ascii="Arial" w:hAnsi="Arial" w:cs="Arial"/>
          <w:sz w:val="20"/>
          <w:szCs w:val="20"/>
        </w:rPr>
        <w:t xml:space="preserve">that </w:t>
      </w:r>
      <w:r w:rsidR="00FF72A5">
        <w:rPr>
          <w:rFonts w:ascii="Arial" w:hAnsi="Arial" w:cs="Arial"/>
          <w:sz w:val="20"/>
          <w:szCs w:val="20"/>
        </w:rPr>
        <w:t xml:space="preserve">were </w:t>
      </w:r>
      <w:r w:rsidR="00086401">
        <w:rPr>
          <w:rFonts w:ascii="Arial" w:hAnsi="Arial" w:cs="Arial"/>
          <w:sz w:val="20"/>
          <w:szCs w:val="20"/>
        </w:rPr>
        <w:t xml:space="preserve">submitted by </w:t>
      </w:r>
      <w:r>
        <w:rPr>
          <w:rFonts w:ascii="Arial" w:hAnsi="Arial" w:cs="Arial"/>
          <w:sz w:val="20"/>
          <w:szCs w:val="20"/>
        </w:rPr>
        <w:t xml:space="preserve">the MHA </w:t>
      </w:r>
      <w:r w:rsidR="00FF72A5">
        <w:rPr>
          <w:rFonts w:ascii="Arial" w:hAnsi="Arial" w:cs="Arial"/>
          <w:sz w:val="20"/>
          <w:szCs w:val="20"/>
        </w:rPr>
        <w:t>on June 17</w:t>
      </w:r>
      <w:r>
        <w:rPr>
          <w:rFonts w:ascii="Arial" w:hAnsi="Arial" w:cs="Arial"/>
          <w:sz w:val="20"/>
          <w:szCs w:val="20"/>
        </w:rPr>
        <w:t xml:space="preserve"> regarding the FY 2</w:t>
      </w:r>
      <w:r w:rsidR="002D5C66" w:rsidRPr="001C6E09">
        <w:rPr>
          <w:rFonts w:ascii="Arial" w:hAnsi="Arial" w:cs="Arial"/>
          <w:sz w:val="20"/>
          <w:szCs w:val="20"/>
        </w:rPr>
        <w:t xml:space="preserve">023 </w:t>
      </w:r>
      <w:r w:rsidR="000F3B19" w:rsidRPr="001C6E09">
        <w:rPr>
          <w:rFonts w:ascii="Arial" w:hAnsi="Arial" w:cs="Arial"/>
          <w:sz w:val="20"/>
          <w:szCs w:val="20"/>
        </w:rPr>
        <w:t>Inpatient Prospective Payment S</w:t>
      </w:r>
      <w:r w:rsidR="002D5C66" w:rsidRPr="001C6E09">
        <w:rPr>
          <w:rFonts w:ascii="Arial" w:hAnsi="Arial" w:cs="Arial"/>
          <w:sz w:val="20"/>
          <w:szCs w:val="20"/>
        </w:rPr>
        <w:t>ystem proposed rule</w:t>
      </w:r>
      <w:r w:rsidR="00AD38B9" w:rsidRPr="001C6E09">
        <w:rPr>
          <w:rFonts w:ascii="Arial" w:hAnsi="Arial" w:cs="Arial"/>
          <w:sz w:val="20"/>
          <w:szCs w:val="20"/>
        </w:rPr>
        <w:t>.</w:t>
      </w:r>
    </w:p>
    <w:p w14:paraId="0CE8ACA6" w14:textId="55341AA5" w:rsidR="009C4D31" w:rsidRDefault="009C4D31" w:rsidP="001C2A1F">
      <w:pPr>
        <w:rPr>
          <w:rFonts w:ascii="Arial" w:hAnsi="Arial" w:cs="Arial"/>
          <w:b/>
          <w:bCs/>
          <w:sz w:val="20"/>
          <w:szCs w:val="20"/>
        </w:rPr>
      </w:pPr>
    </w:p>
    <w:p w14:paraId="525C91BC" w14:textId="40A0291B" w:rsidR="00D27956" w:rsidRDefault="00D27956" w:rsidP="00AA12AB">
      <w:pPr>
        <w:widowControl w:val="0"/>
        <w:autoSpaceDE w:val="0"/>
        <w:autoSpaceDN w:val="0"/>
        <w:spacing w:before="22" w:line="259" w:lineRule="auto"/>
        <w:rPr>
          <w:rFonts w:ascii="Arial" w:eastAsia="Calibri" w:hAnsi="Arial" w:cs="Arial"/>
          <w:b/>
          <w:bCs/>
          <w:smallCaps/>
          <w:sz w:val="20"/>
          <w:szCs w:val="20"/>
          <w:u w:val="single"/>
        </w:rPr>
      </w:pPr>
      <w:r w:rsidRPr="00AA12AB">
        <w:rPr>
          <w:rFonts w:ascii="Arial" w:eastAsia="Calibri" w:hAnsi="Arial" w:cs="Arial"/>
          <w:b/>
          <w:bCs/>
          <w:smallCaps/>
          <w:sz w:val="20"/>
          <w:szCs w:val="20"/>
          <w:u w:val="single"/>
        </w:rPr>
        <w:t>Summary</w:t>
      </w:r>
    </w:p>
    <w:p w14:paraId="5B55D4E9" w14:textId="77777777" w:rsidR="00682279" w:rsidRPr="00AA12AB" w:rsidRDefault="00682279" w:rsidP="00AA12AB">
      <w:pPr>
        <w:widowControl w:val="0"/>
        <w:autoSpaceDE w:val="0"/>
        <w:autoSpaceDN w:val="0"/>
        <w:spacing w:before="22" w:line="259" w:lineRule="auto"/>
        <w:rPr>
          <w:rFonts w:ascii="Arial" w:eastAsia="Calibri" w:hAnsi="Arial" w:cs="Arial"/>
          <w:b/>
          <w:bCs/>
          <w:smallCaps/>
          <w:sz w:val="20"/>
          <w:szCs w:val="20"/>
          <w:u w:val="single"/>
        </w:rPr>
      </w:pPr>
    </w:p>
    <w:p w14:paraId="4183CCC8" w14:textId="1844AD81" w:rsidR="00D27956" w:rsidRPr="007B28BA" w:rsidRDefault="00D27956" w:rsidP="00D27956">
      <w:pPr>
        <w:rPr>
          <w:rFonts w:ascii="Arial" w:hAnsi="Arial" w:cs="Arial"/>
          <w:sz w:val="20"/>
          <w:szCs w:val="20"/>
        </w:rPr>
      </w:pPr>
      <w:r w:rsidRPr="007B28BA">
        <w:rPr>
          <w:rFonts w:ascii="Arial" w:hAnsi="Arial" w:cs="Arial"/>
          <w:sz w:val="20"/>
          <w:szCs w:val="20"/>
        </w:rPr>
        <w:t xml:space="preserve">The MHA appreciates this opportunity to provide comments to the CMS </w:t>
      </w:r>
      <w:r>
        <w:rPr>
          <w:rFonts w:ascii="Arial" w:hAnsi="Arial" w:cs="Arial"/>
          <w:sz w:val="20"/>
          <w:szCs w:val="20"/>
        </w:rPr>
        <w:t xml:space="preserve">on the 2023 </w:t>
      </w:r>
      <w:r w:rsidR="001E254D">
        <w:rPr>
          <w:rFonts w:ascii="Arial" w:hAnsi="Arial" w:cs="Arial"/>
          <w:sz w:val="20"/>
          <w:szCs w:val="20"/>
        </w:rPr>
        <w:t>outpatient</w:t>
      </w:r>
      <w:r>
        <w:rPr>
          <w:rFonts w:ascii="Arial" w:hAnsi="Arial" w:cs="Arial"/>
          <w:sz w:val="20"/>
          <w:szCs w:val="20"/>
        </w:rPr>
        <w:t xml:space="preserve"> proposed rule and believe that our proposed changes will have a positive impact on </w:t>
      </w:r>
      <w:r w:rsidR="001E254D">
        <w:rPr>
          <w:rFonts w:ascii="Arial" w:hAnsi="Arial" w:cs="Arial"/>
          <w:sz w:val="20"/>
          <w:szCs w:val="20"/>
        </w:rPr>
        <w:t xml:space="preserve">hospitals </w:t>
      </w:r>
      <w:r>
        <w:rPr>
          <w:rFonts w:ascii="Arial" w:hAnsi="Arial" w:cs="Arial"/>
          <w:sz w:val="20"/>
          <w:szCs w:val="20"/>
        </w:rPr>
        <w:t>and all patients they serve</w:t>
      </w:r>
      <w:r w:rsidRPr="007B28BA">
        <w:rPr>
          <w:rFonts w:ascii="Arial" w:hAnsi="Arial" w:cs="Arial"/>
          <w:sz w:val="20"/>
          <w:szCs w:val="20"/>
        </w:rPr>
        <w:t xml:space="preserve">. If you have questions regarding this comment letter, please contact </w:t>
      </w:r>
      <w:r w:rsidR="007F720F">
        <w:rPr>
          <w:rFonts w:ascii="Arial" w:hAnsi="Arial" w:cs="Arial"/>
          <w:sz w:val="20"/>
          <w:szCs w:val="20"/>
        </w:rPr>
        <w:t xml:space="preserve">me at </w:t>
      </w:r>
      <w:hyperlink r:id="rId9" w:history="1">
        <w:r w:rsidR="005E62F5" w:rsidRPr="00B65FC4">
          <w:rPr>
            <w:rStyle w:val="Hyperlink"/>
            <w:rFonts w:ascii="Arial" w:hAnsi="Arial" w:cs="Arial"/>
            <w:sz w:val="20"/>
            <w:szCs w:val="20"/>
          </w:rPr>
          <w:t>vkunz@mha.org</w:t>
        </w:r>
      </w:hyperlink>
      <w:r w:rsidR="007F720F">
        <w:rPr>
          <w:rFonts w:ascii="Arial" w:hAnsi="Arial" w:cs="Arial"/>
          <w:sz w:val="20"/>
          <w:szCs w:val="20"/>
        </w:rPr>
        <w:t>.</w:t>
      </w:r>
    </w:p>
    <w:p w14:paraId="7853F563" w14:textId="77777777" w:rsidR="00D27956" w:rsidRPr="007B28BA" w:rsidRDefault="00D27956" w:rsidP="00D27956">
      <w:pPr>
        <w:rPr>
          <w:rFonts w:ascii="Arial" w:hAnsi="Arial" w:cs="Arial"/>
          <w:sz w:val="20"/>
          <w:szCs w:val="20"/>
        </w:rPr>
      </w:pPr>
    </w:p>
    <w:p w14:paraId="4F60D2ED" w14:textId="6324E79E" w:rsidR="007F720F" w:rsidRDefault="00D27956" w:rsidP="00D27956">
      <w:pPr>
        <w:spacing w:line="221" w:lineRule="auto"/>
        <w:rPr>
          <w:rFonts w:ascii="Arial" w:hAnsi="Arial" w:cs="Arial"/>
          <w:iCs/>
          <w:sz w:val="20"/>
          <w:szCs w:val="20"/>
        </w:rPr>
      </w:pPr>
      <w:r w:rsidRPr="007B28BA">
        <w:rPr>
          <w:rFonts w:ascii="Arial" w:hAnsi="Arial" w:cs="Arial"/>
          <w:iCs/>
          <w:sz w:val="20"/>
          <w:szCs w:val="20"/>
        </w:rPr>
        <w:t>Sincerely,</w:t>
      </w:r>
    </w:p>
    <w:p w14:paraId="24DBFCA8" w14:textId="23BF6A90" w:rsidR="007F720F" w:rsidRDefault="007F720F" w:rsidP="00D27956">
      <w:pPr>
        <w:spacing w:line="221" w:lineRule="auto"/>
        <w:rPr>
          <w:rFonts w:ascii="Arial" w:hAnsi="Arial" w:cs="Arial"/>
          <w:iCs/>
          <w:sz w:val="20"/>
          <w:szCs w:val="20"/>
        </w:rPr>
      </w:pPr>
    </w:p>
    <w:p w14:paraId="0167EAFC" w14:textId="21D0A0C0" w:rsidR="004114AA" w:rsidRDefault="004114AA" w:rsidP="00D27956">
      <w:pPr>
        <w:spacing w:line="221" w:lineRule="auto"/>
        <w:rPr>
          <w:rFonts w:ascii="Arial" w:hAnsi="Arial" w:cs="Arial"/>
          <w:iCs/>
          <w:sz w:val="20"/>
          <w:szCs w:val="20"/>
        </w:rPr>
      </w:pPr>
    </w:p>
    <w:p w14:paraId="5BB3ABE2" w14:textId="77777777" w:rsidR="00632ECE" w:rsidRDefault="00632ECE" w:rsidP="00D27956">
      <w:pPr>
        <w:spacing w:line="221" w:lineRule="auto"/>
        <w:rPr>
          <w:rFonts w:ascii="Arial" w:hAnsi="Arial" w:cs="Arial"/>
          <w:iCs/>
          <w:sz w:val="20"/>
          <w:szCs w:val="20"/>
        </w:rPr>
      </w:pPr>
    </w:p>
    <w:p w14:paraId="7696B57F" w14:textId="39854214" w:rsidR="007F720F" w:rsidRDefault="00926F30" w:rsidP="00D27956">
      <w:pPr>
        <w:spacing w:line="221" w:lineRule="auto"/>
        <w:rPr>
          <w:rFonts w:ascii="Arial" w:hAnsi="Arial" w:cs="Arial"/>
          <w:iCs/>
          <w:sz w:val="20"/>
          <w:szCs w:val="20"/>
        </w:rPr>
      </w:pPr>
      <w:r>
        <w:rPr>
          <w:rFonts w:ascii="Arial" w:hAnsi="Arial" w:cs="Arial"/>
          <w:iCs/>
          <w:sz w:val="20"/>
          <w:szCs w:val="20"/>
        </w:rPr>
        <w:t>Vickie Kunz</w:t>
      </w:r>
    </w:p>
    <w:p w14:paraId="63E69456" w14:textId="0D3958D4" w:rsidR="007F720F" w:rsidRPr="007B28BA" w:rsidRDefault="007F720F" w:rsidP="00D27956">
      <w:pPr>
        <w:spacing w:line="221" w:lineRule="auto"/>
        <w:rPr>
          <w:rFonts w:ascii="Arial" w:hAnsi="Arial" w:cs="Arial"/>
          <w:iCs/>
          <w:sz w:val="20"/>
          <w:szCs w:val="20"/>
        </w:rPr>
      </w:pPr>
      <w:r>
        <w:rPr>
          <w:rFonts w:ascii="Arial" w:hAnsi="Arial" w:cs="Arial"/>
          <w:iCs/>
          <w:sz w:val="20"/>
          <w:szCs w:val="20"/>
        </w:rPr>
        <w:t>S</w:t>
      </w:r>
      <w:r w:rsidR="00926F30">
        <w:rPr>
          <w:rFonts w:ascii="Arial" w:hAnsi="Arial" w:cs="Arial"/>
          <w:iCs/>
          <w:sz w:val="20"/>
          <w:szCs w:val="20"/>
        </w:rPr>
        <w:t>enior Director, Health Finance</w:t>
      </w:r>
    </w:p>
    <w:p w14:paraId="53DD9FAE" w14:textId="6CBA774A" w:rsidR="00D27956" w:rsidRDefault="00D27956" w:rsidP="00D27956">
      <w:pPr>
        <w:spacing w:line="221" w:lineRule="auto"/>
        <w:rPr>
          <w:rFonts w:ascii="Arial" w:hAnsi="Arial" w:cs="Arial"/>
        </w:rPr>
      </w:pPr>
    </w:p>
    <w:p w14:paraId="5789571C" w14:textId="487F426D" w:rsidR="00D27956" w:rsidRPr="007A5004" w:rsidRDefault="00D27956" w:rsidP="00D27956">
      <w:pPr>
        <w:spacing w:line="221" w:lineRule="auto"/>
        <w:rPr>
          <w:rFonts w:ascii="Arial" w:hAnsi="Arial" w:cs="Arial"/>
          <w:iCs/>
          <w:sz w:val="20"/>
          <w:szCs w:val="20"/>
        </w:rPr>
      </w:pPr>
    </w:p>
    <w:p w14:paraId="13EBA6FF" w14:textId="77777777" w:rsidR="007B28BA" w:rsidRPr="007B28BA" w:rsidRDefault="007B28BA" w:rsidP="007B28BA">
      <w:pPr>
        <w:rPr>
          <w:rFonts w:ascii="Arial" w:hAnsi="Arial" w:cs="Arial"/>
          <w:sz w:val="20"/>
          <w:szCs w:val="20"/>
        </w:rPr>
      </w:pPr>
    </w:p>
    <w:p w14:paraId="51411086" w14:textId="77777777" w:rsidR="00003682" w:rsidRDefault="00003682" w:rsidP="007B28BA">
      <w:pPr>
        <w:spacing w:line="221" w:lineRule="auto"/>
        <w:rPr>
          <w:rFonts w:ascii="Arial" w:hAnsi="Arial" w:cs="Arial"/>
          <w:iCs/>
          <w:sz w:val="20"/>
          <w:szCs w:val="20"/>
        </w:rPr>
      </w:pPr>
    </w:p>
    <w:sectPr w:rsidR="00003682" w:rsidSect="007B28BA">
      <w:headerReference w:type="even" r:id="rId10"/>
      <w:headerReference w:type="default" r:id="rId11"/>
      <w:headerReference w:type="first" r:id="rId12"/>
      <w:footerReference w:type="first" r:id="rId13"/>
      <w:pgSz w:w="12240" w:h="15840"/>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9B089" w14:textId="77777777" w:rsidR="00980E9A" w:rsidRDefault="00980E9A" w:rsidP="00A45407">
      <w:r>
        <w:separator/>
      </w:r>
    </w:p>
  </w:endnote>
  <w:endnote w:type="continuationSeparator" w:id="0">
    <w:p w14:paraId="6B79529C" w14:textId="77777777" w:rsidR="00980E9A" w:rsidRDefault="00980E9A" w:rsidP="00A4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6C6C9" w14:textId="77777777" w:rsidR="001D17A2" w:rsidRDefault="001D17A2">
    <w:pPr>
      <w:pStyle w:val="Footer"/>
    </w:pPr>
    <w:r>
      <w:rPr>
        <w:noProof/>
      </w:rPr>
      <w:drawing>
        <wp:anchor distT="0" distB="0" distL="114300" distR="114300" simplePos="0" relativeHeight="251656704" behindDoc="0" locked="0" layoutInCell="1" allowOverlap="1" wp14:anchorId="36BE374A" wp14:editId="3A5BED5F">
          <wp:simplePos x="0" y="0"/>
          <wp:positionH relativeFrom="page">
            <wp:posOffset>0</wp:posOffset>
          </wp:positionH>
          <wp:positionV relativeFrom="page">
            <wp:posOffset>9171305</wp:posOffset>
          </wp:positionV>
          <wp:extent cx="7772400" cy="8559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8559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ABAB" w14:textId="77777777" w:rsidR="00980E9A" w:rsidRDefault="00980E9A" w:rsidP="00A45407">
      <w:r>
        <w:separator/>
      </w:r>
    </w:p>
  </w:footnote>
  <w:footnote w:type="continuationSeparator" w:id="0">
    <w:p w14:paraId="316CF7A7" w14:textId="77777777" w:rsidR="00980E9A" w:rsidRDefault="00980E9A" w:rsidP="00A454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5291B" w14:textId="586041E1" w:rsidR="001D17A2" w:rsidRDefault="001D17A2">
    <w:pPr>
      <w:pStyle w:val="Header"/>
    </w:pPr>
    <w:r>
      <w:t xml:space="preserve">Page </w:t>
    </w:r>
    <w:sdt>
      <w:sdtPr>
        <w:id w:val="114862756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EF6084E" w14:textId="64D6626A" w:rsidR="001D17A2" w:rsidRDefault="001D17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ADD9B" w14:textId="77777777" w:rsidR="005E62F5" w:rsidRDefault="005E62F5" w:rsidP="007B28BA">
    <w:pPr>
      <w:rPr>
        <w:rFonts w:ascii="Arial" w:hAnsi="Arial" w:cs="Arial"/>
        <w:sz w:val="20"/>
        <w:szCs w:val="20"/>
      </w:rPr>
    </w:pPr>
  </w:p>
  <w:p w14:paraId="30407F35" w14:textId="11945D55" w:rsidR="001D17A2" w:rsidRPr="00632ECE" w:rsidRDefault="001D17A2" w:rsidP="007B28BA">
    <w:pPr>
      <w:rPr>
        <w:rFonts w:ascii="Arial" w:hAnsi="Arial" w:cs="Arial"/>
        <w:b/>
        <w:bCs/>
      </w:rPr>
    </w:pPr>
    <w:r w:rsidRPr="007B28BA">
      <w:rPr>
        <w:rFonts w:ascii="Arial" w:hAnsi="Arial" w:cs="Arial"/>
        <w:sz w:val="20"/>
        <w:szCs w:val="20"/>
      </w:rPr>
      <w:t>Michigan Health &amp; Hospital Association (</w:t>
    </w:r>
    <w:proofErr w:type="gramStart"/>
    <w:r w:rsidRPr="007B28BA">
      <w:rPr>
        <w:rFonts w:ascii="Arial" w:hAnsi="Arial" w:cs="Arial"/>
        <w:sz w:val="20"/>
        <w:szCs w:val="20"/>
      </w:rPr>
      <w:t xml:space="preserve">MHA)  </w:t>
    </w:r>
    <w:r w:rsidR="00632ECE">
      <w:rPr>
        <w:rFonts w:ascii="Arial" w:hAnsi="Arial" w:cs="Arial"/>
        <w:sz w:val="20"/>
        <w:szCs w:val="20"/>
      </w:rPr>
      <w:t xml:space="preserve"> </w:t>
    </w:r>
    <w:proofErr w:type="gramEnd"/>
    <w:r w:rsidR="00632ECE">
      <w:rPr>
        <w:rFonts w:ascii="Arial" w:hAnsi="Arial" w:cs="Arial"/>
        <w:sz w:val="20"/>
        <w:szCs w:val="20"/>
      </w:rPr>
      <w:tab/>
      <w:t xml:space="preserve"> </w:t>
    </w:r>
    <w:r w:rsidR="00632ECE">
      <w:rPr>
        <w:rFonts w:ascii="Arial" w:hAnsi="Arial" w:cs="Arial"/>
        <w:sz w:val="20"/>
        <w:szCs w:val="20"/>
      </w:rPr>
      <w:tab/>
    </w:r>
    <w:r w:rsidR="00632ECE">
      <w:rPr>
        <w:rFonts w:ascii="Arial" w:hAnsi="Arial" w:cs="Arial"/>
        <w:sz w:val="20"/>
        <w:szCs w:val="20"/>
      </w:rPr>
      <w:tab/>
    </w:r>
    <w:r w:rsidR="00632ECE">
      <w:rPr>
        <w:rFonts w:ascii="Arial" w:hAnsi="Arial" w:cs="Arial"/>
        <w:sz w:val="20"/>
        <w:szCs w:val="20"/>
      </w:rPr>
      <w:tab/>
    </w:r>
    <w:r w:rsidR="00632ECE" w:rsidRPr="00632ECE">
      <w:rPr>
        <w:rFonts w:ascii="Arial" w:hAnsi="Arial" w:cs="Arial"/>
        <w:b/>
        <w:bCs/>
        <w:sz w:val="20"/>
        <w:szCs w:val="20"/>
      </w:rPr>
      <w:t xml:space="preserve">D R A F T </w:t>
    </w:r>
    <w:r w:rsidR="00632ECE">
      <w:rPr>
        <w:rFonts w:ascii="Arial" w:hAnsi="Arial" w:cs="Arial"/>
        <w:b/>
        <w:bCs/>
        <w:sz w:val="20"/>
        <w:szCs w:val="20"/>
      </w:rPr>
      <w:tab/>
      <w:t xml:space="preserve">DRAFT </w:t>
    </w:r>
  </w:p>
  <w:p w14:paraId="355CF417" w14:textId="712CFE13" w:rsidR="001D17A2" w:rsidRPr="003E218E" w:rsidRDefault="00632ECE" w:rsidP="007B28BA">
    <w:pPr>
      <w:rPr>
        <w:rFonts w:ascii="Arial" w:hAnsi="Arial" w:cs="Arial"/>
        <w:b/>
        <w:sz w:val="28"/>
        <w:szCs w:val="28"/>
      </w:rPr>
    </w:pPr>
    <w:r>
      <w:rPr>
        <w:rFonts w:ascii="Arial" w:hAnsi="Arial" w:cs="Arial"/>
        <w:sz w:val="20"/>
        <w:szCs w:val="20"/>
      </w:rPr>
      <w:t xml:space="preserve">DRAFT </w:t>
    </w:r>
    <w:r w:rsidR="001D17A2" w:rsidRPr="007B28BA">
      <w:rPr>
        <w:rFonts w:ascii="Arial" w:hAnsi="Arial" w:cs="Arial"/>
        <w:sz w:val="20"/>
        <w:szCs w:val="20"/>
      </w:rPr>
      <w:t xml:space="preserve">Comments – </w:t>
    </w:r>
    <w:r w:rsidR="004868E8">
      <w:rPr>
        <w:rFonts w:ascii="Arial" w:hAnsi="Arial" w:cs="Arial"/>
        <w:sz w:val="20"/>
        <w:szCs w:val="20"/>
      </w:rPr>
      <w:t>2023</w:t>
    </w:r>
    <w:r w:rsidR="005E7450">
      <w:rPr>
        <w:rFonts w:ascii="Arial" w:hAnsi="Arial" w:cs="Arial"/>
        <w:sz w:val="20"/>
        <w:szCs w:val="20"/>
      </w:rPr>
      <w:t xml:space="preserve"> </w:t>
    </w:r>
    <w:r w:rsidR="001D17A2" w:rsidRPr="007B28BA">
      <w:rPr>
        <w:rFonts w:ascii="Arial" w:hAnsi="Arial" w:cs="Arial"/>
        <w:sz w:val="20"/>
        <w:szCs w:val="20"/>
      </w:rPr>
      <w:t xml:space="preserve">Medicare </w:t>
    </w:r>
    <w:r w:rsidR="001E254D">
      <w:rPr>
        <w:rFonts w:ascii="Arial" w:hAnsi="Arial" w:cs="Arial"/>
        <w:sz w:val="20"/>
        <w:szCs w:val="20"/>
      </w:rPr>
      <w:t>OPPS</w:t>
    </w:r>
    <w:r w:rsidR="001D17A2" w:rsidRPr="007B28BA">
      <w:rPr>
        <w:rFonts w:ascii="Arial" w:hAnsi="Arial" w:cs="Arial"/>
        <w:sz w:val="20"/>
        <w:szCs w:val="20"/>
      </w:rPr>
      <w:t xml:space="preserve"> Proposed Rule</w:t>
    </w:r>
  </w:p>
  <w:p w14:paraId="4A0CD60B" w14:textId="25CFF5C5" w:rsidR="001D17A2" w:rsidRPr="007B28BA" w:rsidRDefault="001E254D" w:rsidP="007B28BA">
    <w:pPr>
      <w:rPr>
        <w:rFonts w:ascii="Arial" w:hAnsi="Arial" w:cs="Arial"/>
        <w:sz w:val="20"/>
        <w:szCs w:val="20"/>
      </w:rPr>
    </w:pPr>
    <w:r>
      <w:rPr>
        <w:rFonts w:ascii="Arial" w:hAnsi="Arial" w:cs="Arial"/>
        <w:sz w:val="20"/>
        <w:szCs w:val="20"/>
      </w:rPr>
      <w:t xml:space="preserve">Sept. </w:t>
    </w:r>
    <w:r w:rsidR="00AB633A">
      <w:rPr>
        <w:rFonts w:ascii="Arial" w:hAnsi="Arial" w:cs="Arial"/>
        <w:sz w:val="20"/>
        <w:szCs w:val="20"/>
      </w:rPr>
      <w:t>6</w:t>
    </w:r>
    <w:r w:rsidR="00F06FDF" w:rsidRPr="008432C5">
      <w:rPr>
        <w:rFonts w:ascii="Arial" w:hAnsi="Arial" w:cs="Arial"/>
        <w:sz w:val="20"/>
        <w:szCs w:val="20"/>
      </w:rPr>
      <w:t>, 202</w:t>
    </w:r>
    <w:r w:rsidR="004868E8" w:rsidRPr="008432C5">
      <w:rPr>
        <w:rFonts w:ascii="Arial" w:hAnsi="Arial" w:cs="Arial"/>
        <w:sz w:val="20"/>
        <w:szCs w:val="20"/>
      </w:rPr>
      <w:t>2</w:t>
    </w:r>
  </w:p>
  <w:p w14:paraId="2A7BDB7D" w14:textId="63BBE228" w:rsidR="001D17A2" w:rsidRPr="007B28BA" w:rsidRDefault="001D17A2">
    <w:pPr>
      <w:pStyle w:val="Header"/>
      <w:rPr>
        <w:rFonts w:ascii="Arial" w:hAnsi="Arial" w:cs="Arial"/>
        <w:sz w:val="20"/>
        <w:szCs w:val="20"/>
      </w:rPr>
    </w:pPr>
    <w:r w:rsidRPr="007B28BA">
      <w:rPr>
        <w:rFonts w:ascii="Arial" w:hAnsi="Arial" w:cs="Arial"/>
        <w:sz w:val="20"/>
        <w:szCs w:val="20"/>
      </w:rPr>
      <w:t xml:space="preserve">Page </w:t>
    </w:r>
    <w:sdt>
      <w:sdtPr>
        <w:rPr>
          <w:rFonts w:ascii="Arial" w:hAnsi="Arial" w:cs="Arial"/>
          <w:sz w:val="20"/>
          <w:szCs w:val="20"/>
        </w:rPr>
        <w:id w:val="-498352200"/>
        <w:docPartObj>
          <w:docPartGallery w:val="Page Numbers (Top of Page)"/>
          <w:docPartUnique/>
        </w:docPartObj>
      </w:sdtPr>
      <w:sdtEndPr>
        <w:rPr>
          <w:noProof/>
        </w:rPr>
      </w:sdtEndPr>
      <w:sdtContent>
        <w:r w:rsidRPr="007B28BA">
          <w:rPr>
            <w:rFonts w:ascii="Arial" w:hAnsi="Arial" w:cs="Arial"/>
            <w:sz w:val="20"/>
            <w:szCs w:val="20"/>
          </w:rPr>
          <w:fldChar w:fldCharType="begin"/>
        </w:r>
        <w:r w:rsidRPr="007B28BA">
          <w:rPr>
            <w:rFonts w:ascii="Arial" w:hAnsi="Arial" w:cs="Arial"/>
            <w:sz w:val="20"/>
            <w:szCs w:val="20"/>
          </w:rPr>
          <w:instrText xml:space="preserve"> PAGE   \* MERGEFORMAT </w:instrText>
        </w:r>
        <w:r w:rsidRPr="007B28BA">
          <w:rPr>
            <w:rFonts w:ascii="Arial" w:hAnsi="Arial" w:cs="Arial"/>
            <w:sz w:val="20"/>
            <w:szCs w:val="20"/>
          </w:rPr>
          <w:fldChar w:fldCharType="separate"/>
        </w:r>
        <w:r w:rsidR="005726D5">
          <w:rPr>
            <w:rFonts w:ascii="Arial" w:hAnsi="Arial" w:cs="Arial"/>
            <w:noProof/>
            <w:sz w:val="20"/>
            <w:szCs w:val="20"/>
          </w:rPr>
          <w:t>3</w:t>
        </w:r>
        <w:r w:rsidRPr="007B28BA">
          <w:rPr>
            <w:rFonts w:ascii="Arial" w:hAnsi="Arial" w:cs="Arial"/>
            <w:noProof/>
            <w:sz w:val="20"/>
            <w:szCs w:val="20"/>
          </w:rPr>
          <w:fldChar w:fldCharType="end"/>
        </w:r>
      </w:sdtContent>
    </w:sdt>
  </w:p>
  <w:p w14:paraId="3F20043D" w14:textId="77777777" w:rsidR="001D17A2" w:rsidRDefault="001D17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6B11" w14:textId="3AED02EB" w:rsidR="001D17A2" w:rsidRDefault="00836C36">
    <w:pPr>
      <w:pStyle w:val="Header"/>
    </w:pPr>
    <w:r>
      <w:rPr>
        <w:noProof/>
      </w:rPr>
      <w:drawing>
        <wp:anchor distT="0" distB="0" distL="114300" distR="114300" simplePos="0" relativeHeight="251657728" behindDoc="0" locked="0" layoutInCell="1" allowOverlap="1" wp14:anchorId="0BA9CF17" wp14:editId="6E24781E">
          <wp:simplePos x="0" y="0"/>
          <wp:positionH relativeFrom="page">
            <wp:align>right</wp:align>
          </wp:positionH>
          <wp:positionV relativeFrom="page">
            <wp:posOffset>19050</wp:posOffset>
          </wp:positionV>
          <wp:extent cx="7772400" cy="1389888"/>
          <wp:effectExtent l="0" t="0" r="0" b="1270"/>
          <wp:wrapTight wrapText="bothSides">
            <wp:wrapPolygon edited="0">
              <wp:start x="0" y="0"/>
              <wp:lineTo x="0" y="21324"/>
              <wp:lineTo x="21547" y="21324"/>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mha_hq.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8988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7AB"/>
    <w:multiLevelType w:val="hybridMultilevel"/>
    <w:tmpl w:val="C12AD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70C2B"/>
    <w:multiLevelType w:val="hybridMultilevel"/>
    <w:tmpl w:val="1D4C6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31F61"/>
    <w:multiLevelType w:val="hybridMultilevel"/>
    <w:tmpl w:val="0D782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B769D"/>
    <w:multiLevelType w:val="hybridMultilevel"/>
    <w:tmpl w:val="C0540176"/>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C6C336F"/>
    <w:multiLevelType w:val="hybridMultilevel"/>
    <w:tmpl w:val="D152BB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8C41DB"/>
    <w:multiLevelType w:val="hybridMultilevel"/>
    <w:tmpl w:val="28EC40F2"/>
    <w:lvl w:ilvl="0" w:tplc="FFFFFFFF">
      <w:start w:val="1"/>
      <w:numFmt w:val="bullet"/>
      <w:lvlText w:val=""/>
      <w:lvlJc w:val="left"/>
      <w:pPr>
        <w:ind w:left="720" w:hanging="360"/>
      </w:pPr>
      <w:rPr>
        <w:rFonts w:ascii="Symbol" w:hAnsi="Symbol" w:hint="default"/>
      </w:rPr>
    </w:lvl>
    <w:lvl w:ilvl="1" w:tplc="04090011">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F597FED"/>
    <w:multiLevelType w:val="hybridMultilevel"/>
    <w:tmpl w:val="1A6880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4B3425"/>
    <w:multiLevelType w:val="hybridMultilevel"/>
    <w:tmpl w:val="4BCA0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38308F"/>
    <w:multiLevelType w:val="hybridMultilevel"/>
    <w:tmpl w:val="59C8B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D66CE"/>
    <w:multiLevelType w:val="hybridMultilevel"/>
    <w:tmpl w:val="0758F5D4"/>
    <w:lvl w:ilvl="0" w:tplc="367487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88330C"/>
    <w:multiLevelType w:val="hybridMultilevel"/>
    <w:tmpl w:val="1706A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02746A"/>
    <w:multiLevelType w:val="hybridMultilevel"/>
    <w:tmpl w:val="8E221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F410C0"/>
    <w:multiLevelType w:val="hybridMultilevel"/>
    <w:tmpl w:val="FF5288FA"/>
    <w:lvl w:ilvl="0" w:tplc="298A0D06">
      <w:start w:val="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A516DA"/>
    <w:multiLevelType w:val="hybridMultilevel"/>
    <w:tmpl w:val="D3C60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39435A"/>
    <w:multiLevelType w:val="hybridMultilevel"/>
    <w:tmpl w:val="BD18D8A2"/>
    <w:lvl w:ilvl="0" w:tplc="BE4E4FE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F032D2"/>
    <w:multiLevelType w:val="hybridMultilevel"/>
    <w:tmpl w:val="A042A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72E95"/>
    <w:multiLevelType w:val="hybridMultilevel"/>
    <w:tmpl w:val="7D940B8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071B9"/>
    <w:multiLevelType w:val="hybridMultilevel"/>
    <w:tmpl w:val="1EB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0807A8"/>
    <w:multiLevelType w:val="hybridMultilevel"/>
    <w:tmpl w:val="B9DE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281B96"/>
    <w:multiLevelType w:val="hybridMultilevel"/>
    <w:tmpl w:val="DD8A7B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2A212D1"/>
    <w:multiLevelType w:val="hybridMultilevel"/>
    <w:tmpl w:val="EC261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B3088"/>
    <w:multiLevelType w:val="hybridMultilevel"/>
    <w:tmpl w:val="106E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AB5364"/>
    <w:multiLevelType w:val="hybridMultilevel"/>
    <w:tmpl w:val="DCF430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D6314"/>
    <w:multiLevelType w:val="hybridMultilevel"/>
    <w:tmpl w:val="74869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D22E63"/>
    <w:multiLevelType w:val="hybridMultilevel"/>
    <w:tmpl w:val="6A20AD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DF74F8"/>
    <w:multiLevelType w:val="hybridMultilevel"/>
    <w:tmpl w:val="479E0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515FA"/>
    <w:multiLevelType w:val="hybridMultilevel"/>
    <w:tmpl w:val="8D0C7E66"/>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52B36FA5"/>
    <w:multiLevelType w:val="hybridMultilevel"/>
    <w:tmpl w:val="985EFD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712212"/>
    <w:multiLevelType w:val="hybridMultilevel"/>
    <w:tmpl w:val="7B1EB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D647AE"/>
    <w:multiLevelType w:val="hybridMultilevel"/>
    <w:tmpl w:val="9AD4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503C60"/>
    <w:multiLevelType w:val="hybridMultilevel"/>
    <w:tmpl w:val="E35E1E3C"/>
    <w:lvl w:ilvl="0" w:tplc="6A22F372">
      <w:start w:val="1"/>
      <w:numFmt w:val="decimal"/>
      <w:lvlText w:val="%1."/>
      <w:lvlJc w:val="left"/>
      <w:pPr>
        <w:ind w:left="1181" w:hanging="360"/>
      </w:pPr>
      <w:rPr>
        <w:rFonts w:hint="default"/>
      </w:rPr>
    </w:lvl>
    <w:lvl w:ilvl="1" w:tplc="04090019" w:tentative="1">
      <w:start w:val="1"/>
      <w:numFmt w:val="lowerLetter"/>
      <w:lvlText w:val="%2."/>
      <w:lvlJc w:val="left"/>
      <w:pPr>
        <w:ind w:left="1901" w:hanging="360"/>
      </w:pPr>
    </w:lvl>
    <w:lvl w:ilvl="2" w:tplc="0409001B" w:tentative="1">
      <w:start w:val="1"/>
      <w:numFmt w:val="lowerRoman"/>
      <w:lvlText w:val="%3."/>
      <w:lvlJc w:val="right"/>
      <w:pPr>
        <w:ind w:left="2621" w:hanging="180"/>
      </w:pPr>
    </w:lvl>
    <w:lvl w:ilvl="3" w:tplc="0409000F" w:tentative="1">
      <w:start w:val="1"/>
      <w:numFmt w:val="decimal"/>
      <w:lvlText w:val="%4."/>
      <w:lvlJc w:val="left"/>
      <w:pPr>
        <w:ind w:left="3341" w:hanging="360"/>
      </w:pPr>
    </w:lvl>
    <w:lvl w:ilvl="4" w:tplc="04090019" w:tentative="1">
      <w:start w:val="1"/>
      <w:numFmt w:val="lowerLetter"/>
      <w:lvlText w:val="%5."/>
      <w:lvlJc w:val="left"/>
      <w:pPr>
        <w:ind w:left="4061" w:hanging="360"/>
      </w:pPr>
    </w:lvl>
    <w:lvl w:ilvl="5" w:tplc="0409001B" w:tentative="1">
      <w:start w:val="1"/>
      <w:numFmt w:val="lowerRoman"/>
      <w:lvlText w:val="%6."/>
      <w:lvlJc w:val="right"/>
      <w:pPr>
        <w:ind w:left="4781" w:hanging="180"/>
      </w:pPr>
    </w:lvl>
    <w:lvl w:ilvl="6" w:tplc="0409000F" w:tentative="1">
      <w:start w:val="1"/>
      <w:numFmt w:val="decimal"/>
      <w:lvlText w:val="%7."/>
      <w:lvlJc w:val="left"/>
      <w:pPr>
        <w:ind w:left="5501" w:hanging="360"/>
      </w:pPr>
    </w:lvl>
    <w:lvl w:ilvl="7" w:tplc="04090019" w:tentative="1">
      <w:start w:val="1"/>
      <w:numFmt w:val="lowerLetter"/>
      <w:lvlText w:val="%8."/>
      <w:lvlJc w:val="left"/>
      <w:pPr>
        <w:ind w:left="6221" w:hanging="360"/>
      </w:pPr>
    </w:lvl>
    <w:lvl w:ilvl="8" w:tplc="0409001B" w:tentative="1">
      <w:start w:val="1"/>
      <w:numFmt w:val="lowerRoman"/>
      <w:lvlText w:val="%9."/>
      <w:lvlJc w:val="right"/>
      <w:pPr>
        <w:ind w:left="6941" w:hanging="180"/>
      </w:pPr>
    </w:lvl>
  </w:abstractNum>
  <w:abstractNum w:abstractNumId="31" w15:restartNumberingAfterBreak="0">
    <w:nsid w:val="6FC8095F"/>
    <w:multiLevelType w:val="hybridMultilevel"/>
    <w:tmpl w:val="634CF83E"/>
    <w:lvl w:ilvl="0" w:tplc="5F3841C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50749"/>
    <w:multiLevelType w:val="hybridMultilevel"/>
    <w:tmpl w:val="57746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B41404"/>
    <w:multiLevelType w:val="hybridMultilevel"/>
    <w:tmpl w:val="1F822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218F3"/>
    <w:multiLevelType w:val="hybridMultilevel"/>
    <w:tmpl w:val="C56C6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9B7CB2"/>
    <w:multiLevelType w:val="hybridMultilevel"/>
    <w:tmpl w:val="1F3E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D350F"/>
    <w:multiLevelType w:val="hybridMultilevel"/>
    <w:tmpl w:val="81922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AB30527"/>
    <w:multiLevelType w:val="hybridMultilevel"/>
    <w:tmpl w:val="BF3E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2224F7"/>
    <w:multiLevelType w:val="hybridMultilevel"/>
    <w:tmpl w:val="BDC25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E11B38"/>
    <w:multiLevelType w:val="hybridMultilevel"/>
    <w:tmpl w:val="D0086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5E2B7C"/>
    <w:multiLevelType w:val="hybridMultilevel"/>
    <w:tmpl w:val="E8780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F687A9D"/>
    <w:multiLevelType w:val="hybridMultilevel"/>
    <w:tmpl w:val="33BE77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CF6BE2"/>
    <w:multiLevelType w:val="hybridMultilevel"/>
    <w:tmpl w:val="FF564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720801">
    <w:abstractNumId w:val="20"/>
  </w:num>
  <w:num w:numId="2" w16cid:durableId="1786729868">
    <w:abstractNumId w:val="39"/>
  </w:num>
  <w:num w:numId="3" w16cid:durableId="1711149443">
    <w:abstractNumId w:val="1"/>
  </w:num>
  <w:num w:numId="4" w16cid:durableId="725838788">
    <w:abstractNumId w:val="29"/>
  </w:num>
  <w:num w:numId="5" w16cid:durableId="2002074414">
    <w:abstractNumId w:val="38"/>
  </w:num>
  <w:num w:numId="6" w16cid:durableId="621889916">
    <w:abstractNumId w:val="25"/>
  </w:num>
  <w:num w:numId="7" w16cid:durableId="1309171983">
    <w:abstractNumId w:val="37"/>
  </w:num>
  <w:num w:numId="8" w16cid:durableId="1740326696">
    <w:abstractNumId w:val="31"/>
  </w:num>
  <w:num w:numId="9" w16cid:durableId="553615096">
    <w:abstractNumId w:val="10"/>
  </w:num>
  <w:num w:numId="10" w16cid:durableId="1731151165">
    <w:abstractNumId w:val="13"/>
  </w:num>
  <w:num w:numId="11" w16cid:durableId="1922832892">
    <w:abstractNumId w:val="22"/>
  </w:num>
  <w:num w:numId="12" w16cid:durableId="372703661">
    <w:abstractNumId w:val="9"/>
  </w:num>
  <w:num w:numId="13" w16cid:durableId="569656665">
    <w:abstractNumId w:val="21"/>
  </w:num>
  <w:num w:numId="14" w16cid:durableId="694771732">
    <w:abstractNumId w:val="28"/>
  </w:num>
  <w:num w:numId="15" w16cid:durableId="791367228">
    <w:abstractNumId w:val="18"/>
  </w:num>
  <w:num w:numId="16" w16cid:durableId="2138448304">
    <w:abstractNumId w:val="14"/>
  </w:num>
  <w:num w:numId="17" w16cid:durableId="1175682205">
    <w:abstractNumId w:val="12"/>
  </w:num>
  <w:num w:numId="18" w16cid:durableId="705060530">
    <w:abstractNumId w:val="11"/>
  </w:num>
  <w:num w:numId="19" w16cid:durableId="1745640619">
    <w:abstractNumId w:val="36"/>
  </w:num>
  <w:num w:numId="20" w16cid:durableId="207881145">
    <w:abstractNumId w:val="23"/>
  </w:num>
  <w:num w:numId="21" w16cid:durableId="1942227478">
    <w:abstractNumId w:val="0"/>
  </w:num>
  <w:num w:numId="22" w16cid:durableId="2029721875">
    <w:abstractNumId w:val="15"/>
  </w:num>
  <w:num w:numId="23" w16cid:durableId="1995260842">
    <w:abstractNumId w:val="42"/>
  </w:num>
  <w:num w:numId="24" w16cid:durableId="1537040481">
    <w:abstractNumId w:val="16"/>
  </w:num>
  <w:num w:numId="25" w16cid:durableId="1029644803">
    <w:abstractNumId w:val="30"/>
  </w:num>
  <w:num w:numId="26" w16cid:durableId="1768191857">
    <w:abstractNumId w:val="34"/>
  </w:num>
  <w:num w:numId="27" w16cid:durableId="2063360536">
    <w:abstractNumId w:val="7"/>
  </w:num>
  <w:num w:numId="28" w16cid:durableId="1268779721">
    <w:abstractNumId w:val="35"/>
  </w:num>
  <w:num w:numId="29" w16cid:durableId="216205042">
    <w:abstractNumId w:val="24"/>
  </w:num>
  <w:num w:numId="30" w16cid:durableId="1631667889">
    <w:abstractNumId w:val="33"/>
  </w:num>
  <w:num w:numId="31" w16cid:durableId="2004895641">
    <w:abstractNumId w:val="26"/>
  </w:num>
  <w:num w:numId="32" w16cid:durableId="1046678231">
    <w:abstractNumId w:val="32"/>
  </w:num>
  <w:num w:numId="33" w16cid:durableId="613098781">
    <w:abstractNumId w:val="4"/>
  </w:num>
  <w:num w:numId="34" w16cid:durableId="155727758">
    <w:abstractNumId w:val="8"/>
  </w:num>
  <w:num w:numId="35" w16cid:durableId="1117722237">
    <w:abstractNumId w:val="3"/>
  </w:num>
  <w:num w:numId="36" w16cid:durableId="837236529">
    <w:abstractNumId w:val="5"/>
  </w:num>
  <w:num w:numId="37" w16cid:durableId="633683344">
    <w:abstractNumId w:val="2"/>
  </w:num>
  <w:num w:numId="38" w16cid:durableId="81070845">
    <w:abstractNumId w:val="19"/>
  </w:num>
  <w:num w:numId="39" w16cid:durableId="961037389">
    <w:abstractNumId w:val="6"/>
  </w:num>
  <w:num w:numId="40" w16cid:durableId="401486012">
    <w:abstractNumId w:val="27"/>
  </w:num>
  <w:num w:numId="41" w16cid:durableId="1925265444">
    <w:abstractNumId w:val="41"/>
  </w:num>
  <w:num w:numId="42" w16cid:durableId="806167539">
    <w:abstractNumId w:val="40"/>
  </w:num>
  <w:num w:numId="43" w16cid:durableId="12874520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B5B"/>
    <w:rsid w:val="00000446"/>
    <w:rsid w:val="00000F8D"/>
    <w:rsid w:val="00003682"/>
    <w:rsid w:val="00013B24"/>
    <w:rsid w:val="0002192D"/>
    <w:rsid w:val="00031B00"/>
    <w:rsid w:val="00034FF8"/>
    <w:rsid w:val="00037CB5"/>
    <w:rsid w:val="00040F37"/>
    <w:rsid w:val="00043072"/>
    <w:rsid w:val="0004332A"/>
    <w:rsid w:val="00043665"/>
    <w:rsid w:val="000462C9"/>
    <w:rsid w:val="00046E3B"/>
    <w:rsid w:val="00047567"/>
    <w:rsid w:val="00047821"/>
    <w:rsid w:val="000613BF"/>
    <w:rsid w:val="0006170D"/>
    <w:rsid w:val="000643E4"/>
    <w:rsid w:val="00064827"/>
    <w:rsid w:val="00067B84"/>
    <w:rsid w:val="00072555"/>
    <w:rsid w:val="00072DCE"/>
    <w:rsid w:val="00076CFD"/>
    <w:rsid w:val="0008636F"/>
    <w:rsid w:val="00086401"/>
    <w:rsid w:val="000A0EC9"/>
    <w:rsid w:val="000A15BE"/>
    <w:rsid w:val="000B4B5B"/>
    <w:rsid w:val="000C045A"/>
    <w:rsid w:val="000C1594"/>
    <w:rsid w:val="000C53BD"/>
    <w:rsid w:val="000C5763"/>
    <w:rsid w:val="000D2A39"/>
    <w:rsid w:val="000D34E5"/>
    <w:rsid w:val="000D3752"/>
    <w:rsid w:val="000D79D4"/>
    <w:rsid w:val="000E0962"/>
    <w:rsid w:val="000E1832"/>
    <w:rsid w:val="000E2408"/>
    <w:rsid w:val="000E421A"/>
    <w:rsid w:val="000F0CD7"/>
    <w:rsid w:val="000F3B19"/>
    <w:rsid w:val="000F57B7"/>
    <w:rsid w:val="000F69D2"/>
    <w:rsid w:val="001002D8"/>
    <w:rsid w:val="00100926"/>
    <w:rsid w:val="00107739"/>
    <w:rsid w:val="001155D7"/>
    <w:rsid w:val="001170D4"/>
    <w:rsid w:val="001254EB"/>
    <w:rsid w:val="00125644"/>
    <w:rsid w:val="00132C39"/>
    <w:rsid w:val="00133711"/>
    <w:rsid w:val="0013685F"/>
    <w:rsid w:val="00142C10"/>
    <w:rsid w:val="001567F5"/>
    <w:rsid w:val="00156BAA"/>
    <w:rsid w:val="00157D38"/>
    <w:rsid w:val="001617CD"/>
    <w:rsid w:val="00164D23"/>
    <w:rsid w:val="00173AAD"/>
    <w:rsid w:val="001743F7"/>
    <w:rsid w:val="001767A6"/>
    <w:rsid w:val="00180702"/>
    <w:rsid w:val="00182EA6"/>
    <w:rsid w:val="001840AD"/>
    <w:rsid w:val="00184E04"/>
    <w:rsid w:val="00186A0F"/>
    <w:rsid w:val="00187B8D"/>
    <w:rsid w:val="00187CAF"/>
    <w:rsid w:val="00191F64"/>
    <w:rsid w:val="001925A8"/>
    <w:rsid w:val="001A08DA"/>
    <w:rsid w:val="001A19BA"/>
    <w:rsid w:val="001A367C"/>
    <w:rsid w:val="001A712A"/>
    <w:rsid w:val="001B3587"/>
    <w:rsid w:val="001B736B"/>
    <w:rsid w:val="001C2A1F"/>
    <w:rsid w:val="001C4DAB"/>
    <w:rsid w:val="001C6E09"/>
    <w:rsid w:val="001D17A2"/>
    <w:rsid w:val="001D53C1"/>
    <w:rsid w:val="001D7B0C"/>
    <w:rsid w:val="001E254D"/>
    <w:rsid w:val="001E3DC5"/>
    <w:rsid w:val="001E4642"/>
    <w:rsid w:val="001E52B5"/>
    <w:rsid w:val="001E6046"/>
    <w:rsid w:val="001F287D"/>
    <w:rsid w:val="001F5157"/>
    <w:rsid w:val="00201FC6"/>
    <w:rsid w:val="00203D85"/>
    <w:rsid w:val="00217DAB"/>
    <w:rsid w:val="0022240B"/>
    <w:rsid w:val="00226A9F"/>
    <w:rsid w:val="00226B54"/>
    <w:rsid w:val="0023505B"/>
    <w:rsid w:val="0023514C"/>
    <w:rsid w:val="0024253D"/>
    <w:rsid w:val="0024460F"/>
    <w:rsid w:val="00247B19"/>
    <w:rsid w:val="00247B75"/>
    <w:rsid w:val="00252C57"/>
    <w:rsid w:val="0025597F"/>
    <w:rsid w:val="00257AA2"/>
    <w:rsid w:val="00263317"/>
    <w:rsid w:val="0026394E"/>
    <w:rsid w:val="0027111F"/>
    <w:rsid w:val="00277B48"/>
    <w:rsid w:val="00282D46"/>
    <w:rsid w:val="00284458"/>
    <w:rsid w:val="00285699"/>
    <w:rsid w:val="0028612F"/>
    <w:rsid w:val="002863CA"/>
    <w:rsid w:val="00286FFB"/>
    <w:rsid w:val="00294422"/>
    <w:rsid w:val="002965CE"/>
    <w:rsid w:val="00297F8D"/>
    <w:rsid w:val="002A1AFC"/>
    <w:rsid w:val="002A5718"/>
    <w:rsid w:val="002B1F3C"/>
    <w:rsid w:val="002B5F35"/>
    <w:rsid w:val="002B7B9B"/>
    <w:rsid w:val="002C077B"/>
    <w:rsid w:val="002C4FD6"/>
    <w:rsid w:val="002C6225"/>
    <w:rsid w:val="002D366E"/>
    <w:rsid w:val="002D36FD"/>
    <w:rsid w:val="002D4C9B"/>
    <w:rsid w:val="002D5C66"/>
    <w:rsid w:val="002E0418"/>
    <w:rsid w:val="002E17BB"/>
    <w:rsid w:val="002E33DD"/>
    <w:rsid w:val="002E4E16"/>
    <w:rsid w:val="002E52F8"/>
    <w:rsid w:val="002E7479"/>
    <w:rsid w:val="002F33B5"/>
    <w:rsid w:val="00300F40"/>
    <w:rsid w:val="00307BFD"/>
    <w:rsid w:val="003211CB"/>
    <w:rsid w:val="00325558"/>
    <w:rsid w:val="003302F8"/>
    <w:rsid w:val="003375FE"/>
    <w:rsid w:val="003411BA"/>
    <w:rsid w:val="00341314"/>
    <w:rsid w:val="00344676"/>
    <w:rsid w:val="00345C81"/>
    <w:rsid w:val="00355868"/>
    <w:rsid w:val="00361F2F"/>
    <w:rsid w:val="00364845"/>
    <w:rsid w:val="00372D0F"/>
    <w:rsid w:val="0037567A"/>
    <w:rsid w:val="00376879"/>
    <w:rsid w:val="00383319"/>
    <w:rsid w:val="003852FD"/>
    <w:rsid w:val="00390EF3"/>
    <w:rsid w:val="00393801"/>
    <w:rsid w:val="003A125E"/>
    <w:rsid w:val="003B1BFD"/>
    <w:rsid w:val="003B4079"/>
    <w:rsid w:val="003B79E8"/>
    <w:rsid w:val="003C0CEB"/>
    <w:rsid w:val="003C3729"/>
    <w:rsid w:val="003C3933"/>
    <w:rsid w:val="003D20FB"/>
    <w:rsid w:val="003D5877"/>
    <w:rsid w:val="003E0615"/>
    <w:rsid w:val="003E1A47"/>
    <w:rsid w:val="003E218E"/>
    <w:rsid w:val="003E3AB5"/>
    <w:rsid w:val="003E639D"/>
    <w:rsid w:val="003F28B1"/>
    <w:rsid w:val="003F6B19"/>
    <w:rsid w:val="003F7270"/>
    <w:rsid w:val="00405AFD"/>
    <w:rsid w:val="004114AA"/>
    <w:rsid w:val="004155D9"/>
    <w:rsid w:val="004168B4"/>
    <w:rsid w:val="004219E6"/>
    <w:rsid w:val="00422761"/>
    <w:rsid w:val="004323A5"/>
    <w:rsid w:val="00452AFA"/>
    <w:rsid w:val="00453983"/>
    <w:rsid w:val="00453A6E"/>
    <w:rsid w:val="00454D7C"/>
    <w:rsid w:val="00456526"/>
    <w:rsid w:val="004616FA"/>
    <w:rsid w:val="00461A41"/>
    <w:rsid w:val="004659FA"/>
    <w:rsid w:val="00471B47"/>
    <w:rsid w:val="00484F16"/>
    <w:rsid w:val="00485A4B"/>
    <w:rsid w:val="004868E8"/>
    <w:rsid w:val="004912CE"/>
    <w:rsid w:val="00495005"/>
    <w:rsid w:val="004960C4"/>
    <w:rsid w:val="004A092D"/>
    <w:rsid w:val="004A7C99"/>
    <w:rsid w:val="004B09A7"/>
    <w:rsid w:val="004B3BF0"/>
    <w:rsid w:val="004C2177"/>
    <w:rsid w:val="004C4D75"/>
    <w:rsid w:val="004D616A"/>
    <w:rsid w:val="004D68A1"/>
    <w:rsid w:val="004E2896"/>
    <w:rsid w:val="004E35C5"/>
    <w:rsid w:val="004E4A9B"/>
    <w:rsid w:val="004F48AD"/>
    <w:rsid w:val="004F629F"/>
    <w:rsid w:val="0050003F"/>
    <w:rsid w:val="00501935"/>
    <w:rsid w:val="00506C4F"/>
    <w:rsid w:val="00507006"/>
    <w:rsid w:val="00507412"/>
    <w:rsid w:val="00524B9E"/>
    <w:rsid w:val="00525637"/>
    <w:rsid w:val="00531102"/>
    <w:rsid w:val="005505E3"/>
    <w:rsid w:val="005527F9"/>
    <w:rsid w:val="00552F85"/>
    <w:rsid w:val="00553DA6"/>
    <w:rsid w:val="00556703"/>
    <w:rsid w:val="005633C1"/>
    <w:rsid w:val="005637B0"/>
    <w:rsid w:val="00567EFE"/>
    <w:rsid w:val="00571506"/>
    <w:rsid w:val="005726D5"/>
    <w:rsid w:val="0058384F"/>
    <w:rsid w:val="00583DD0"/>
    <w:rsid w:val="00587600"/>
    <w:rsid w:val="00597158"/>
    <w:rsid w:val="0059793D"/>
    <w:rsid w:val="005A1BC2"/>
    <w:rsid w:val="005A4124"/>
    <w:rsid w:val="005B01CF"/>
    <w:rsid w:val="005B1BA6"/>
    <w:rsid w:val="005B2CD9"/>
    <w:rsid w:val="005C4F31"/>
    <w:rsid w:val="005C5CB0"/>
    <w:rsid w:val="005D04AC"/>
    <w:rsid w:val="005E0500"/>
    <w:rsid w:val="005E12D9"/>
    <w:rsid w:val="005E343C"/>
    <w:rsid w:val="005E3F06"/>
    <w:rsid w:val="005E62F5"/>
    <w:rsid w:val="005E713E"/>
    <w:rsid w:val="005E7450"/>
    <w:rsid w:val="005F25F5"/>
    <w:rsid w:val="005F51F2"/>
    <w:rsid w:val="005F6EA4"/>
    <w:rsid w:val="005F7F9E"/>
    <w:rsid w:val="0061396B"/>
    <w:rsid w:val="006140AE"/>
    <w:rsid w:val="00617B85"/>
    <w:rsid w:val="006317B3"/>
    <w:rsid w:val="00632C75"/>
    <w:rsid w:val="00632ECE"/>
    <w:rsid w:val="00643F16"/>
    <w:rsid w:val="00646E03"/>
    <w:rsid w:val="00650437"/>
    <w:rsid w:val="00651065"/>
    <w:rsid w:val="0065108E"/>
    <w:rsid w:val="00657A53"/>
    <w:rsid w:val="00661A3F"/>
    <w:rsid w:val="00665022"/>
    <w:rsid w:val="00676DF6"/>
    <w:rsid w:val="00681BE1"/>
    <w:rsid w:val="006821C4"/>
    <w:rsid w:val="00682279"/>
    <w:rsid w:val="00686ADD"/>
    <w:rsid w:val="006919E6"/>
    <w:rsid w:val="00694EE6"/>
    <w:rsid w:val="006A2602"/>
    <w:rsid w:val="006A3C75"/>
    <w:rsid w:val="006A6463"/>
    <w:rsid w:val="006A7715"/>
    <w:rsid w:val="006B3613"/>
    <w:rsid w:val="006B4404"/>
    <w:rsid w:val="006C6B67"/>
    <w:rsid w:val="006D0864"/>
    <w:rsid w:val="006D1DAD"/>
    <w:rsid w:val="006D213F"/>
    <w:rsid w:val="006E1E7B"/>
    <w:rsid w:val="006F2891"/>
    <w:rsid w:val="0071272E"/>
    <w:rsid w:val="0071296B"/>
    <w:rsid w:val="007164DC"/>
    <w:rsid w:val="007228FA"/>
    <w:rsid w:val="007237D5"/>
    <w:rsid w:val="00725EC2"/>
    <w:rsid w:val="007268BE"/>
    <w:rsid w:val="00733115"/>
    <w:rsid w:val="00733718"/>
    <w:rsid w:val="0074103A"/>
    <w:rsid w:val="007511B6"/>
    <w:rsid w:val="00764188"/>
    <w:rsid w:val="00764E88"/>
    <w:rsid w:val="00767FEC"/>
    <w:rsid w:val="00770CF5"/>
    <w:rsid w:val="00776657"/>
    <w:rsid w:val="0077677E"/>
    <w:rsid w:val="0078509A"/>
    <w:rsid w:val="007907D4"/>
    <w:rsid w:val="00791E55"/>
    <w:rsid w:val="007924A5"/>
    <w:rsid w:val="00792BA4"/>
    <w:rsid w:val="007933E5"/>
    <w:rsid w:val="00795F36"/>
    <w:rsid w:val="00796205"/>
    <w:rsid w:val="007962CA"/>
    <w:rsid w:val="007A404A"/>
    <w:rsid w:val="007A40AD"/>
    <w:rsid w:val="007B0D45"/>
    <w:rsid w:val="007B0F7A"/>
    <w:rsid w:val="007B28BA"/>
    <w:rsid w:val="007B2E12"/>
    <w:rsid w:val="007B3E07"/>
    <w:rsid w:val="007B5D98"/>
    <w:rsid w:val="007B7EC6"/>
    <w:rsid w:val="007C7806"/>
    <w:rsid w:val="007D0D91"/>
    <w:rsid w:val="007D3184"/>
    <w:rsid w:val="007D4DA5"/>
    <w:rsid w:val="007D75D3"/>
    <w:rsid w:val="007E2E7E"/>
    <w:rsid w:val="007E5453"/>
    <w:rsid w:val="007E5B7E"/>
    <w:rsid w:val="007E71CF"/>
    <w:rsid w:val="007E7B5C"/>
    <w:rsid w:val="007F0E05"/>
    <w:rsid w:val="007F1583"/>
    <w:rsid w:val="007F1E31"/>
    <w:rsid w:val="007F4B87"/>
    <w:rsid w:val="007F720F"/>
    <w:rsid w:val="00800762"/>
    <w:rsid w:val="00804395"/>
    <w:rsid w:val="00804ADD"/>
    <w:rsid w:val="008068A6"/>
    <w:rsid w:val="00813C2C"/>
    <w:rsid w:val="00816441"/>
    <w:rsid w:val="008209E6"/>
    <w:rsid w:val="00822904"/>
    <w:rsid w:val="00823DF6"/>
    <w:rsid w:val="00834FE7"/>
    <w:rsid w:val="00836C36"/>
    <w:rsid w:val="008432C5"/>
    <w:rsid w:val="0085061C"/>
    <w:rsid w:val="00852CFC"/>
    <w:rsid w:val="008541F5"/>
    <w:rsid w:val="00862539"/>
    <w:rsid w:val="00864839"/>
    <w:rsid w:val="00865C02"/>
    <w:rsid w:val="00865FD5"/>
    <w:rsid w:val="008775B6"/>
    <w:rsid w:val="00884002"/>
    <w:rsid w:val="00891E63"/>
    <w:rsid w:val="008A442A"/>
    <w:rsid w:val="008A4FBA"/>
    <w:rsid w:val="008B18FE"/>
    <w:rsid w:val="008B6698"/>
    <w:rsid w:val="008C171A"/>
    <w:rsid w:val="008C39DA"/>
    <w:rsid w:val="008C7FCF"/>
    <w:rsid w:val="008D2340"/>
    <w:rsid w:val="008D5E2C"/>
    <w:rsid w:val="008E0CF2"/>
    <w:rsid w:val="008E594A"/>
    <w:rsid w:val="008F50A4"/>
    <w:rsid w:val="00901D2D"/>
    <w:rsid w:val="00901E8E"/>
    <w:rsid w:val="00901FA7"/>
    <w:rsid w:val="00902FF3"/>
    <w:rsid w:val="00904EBC"/>
    <w:rsid w:val="0090630F"/>
    <w:rsid w:val="009100E1"/>
    <w:rsid w:val="00914D78"/>
    <w:rsid w:val="00915749"/>
    <w:rsid w:val="009164F9"/>
    <w:rsid w:val="00917C4B"/>
    <w:rsid w:val="00926F30"/>
    <w:rsid w:val="00927888"/>
    <w:rsid w:val="00930164"/>
    <w:rsid w:val="009323A9"/>
    <w:rsid w:val="00934A71"/>
    <w:rsid w:val="009362D8"/>
    <w:rsid w:val="00941DDD"/>
    <w:rsid w:val="0094361E"/>
    <w:rsid w:val="00943D60"/>
    <w:rsid w:val="009477E4"/>
    <w:rsid w:val="00954EA5"/>
    <w:rsid w:val="0095704E"/>
    <w:rsid w:val="00957A0A"/>
    <w:rsid w:val="009660FE"/>
    <w:rsid w:val="0097215A"/>
    <w:rsid w:val="00974919"/>
    <w:rsid w:val="00980E9A"/>
    <w:rsid w:val="00982B82"/>
    <w:rsid w:val="00991121"/>
    <w:rsid w:val="00993F59"/>
    <w:rsid w:val="009A13FB"/>
    <w:rsid w:val="009A1CBA"/>
    <w:rsid w:val="009A5DF5"/>
    <w:rsid w:val="009B02F7"/>
    <w:rsid w:val="009B7748"/>
    <w:rsid w:val="009C4D31"/>
    <w:rsid w:val="009C54BF"/>
    <w:rsid w:val="009D0706"/>
    <w:rsid w:val="009D7ABA"/>
    <w:rsid w:val="009D7D88"/>
    <w:rsid w:val="009E303D"/>
    <w:rsid w:val="009E6628"/>
    <w:rsid w:val="009E6F3D"/>
    <w:rsid w:val="009F44F2"/>
    <w:rsid w:val="009F49E9"/>
    <w:rsid w:val="009F6108"/>
    <w:rsid w:val="00A007F8"/>
    <w:rsid w:val="00A06B26"/>
    <w:rsid w:val="00A1390A"/>
    <w:rsid w:val="00A153D3"/>
    <w:rsid w:val="00A172B2"/>
    <w:rsid w:val="00A20007"/>
    <w:rsid w:val="00A212DB"/>
    <w:rsid w:val="00A215CA"/>
    <w:rsid w:val="00A22B1B"/>
    <w:rsid w:val="00A25C84"/>
    <w:rsid w:val="00A262F3"/>
    <w:rsid w:val="00A33981"/>
    <w:rsid w:val="00A34C29"/>
    <w:rsid w:val="00A34E47"/>
    <w:rsid w:val="00A355FB"/>
    <w:rsid w:val="00A35FD4"/>
    <w:rsid w:val="00A40F63"/>
    <w:rsid w:val="00A41D7D"/>
    <w:rsid w:val="00A45407"/>
    <w:rsid w:val="00A52EEB"/>
    <w:rsid w:val="00A5767E"/>
    <w:rsid w:val="00A57BEF"/>
    <w:rsid w:val="00A64DDA"/>
    <w:rsid w:val="00A64FE2"/>
    <w:rsid w:val="00A67636"/>
    <w:rsid w:val="00A720FE"/>
    <w:rsid w:val="00A72559"/>
    <w:rsid w:val="00A7265D"/>
    <w:rsid w:val="00A72D49"/>
    <w:rsid w:val="00A741FB"/>
    <w:rsid w:val="00A7777D"/>
    <w:rsid w:val="00A809FF"/>
    <w:rsid w:val="00A81F9B"/>
    <w:rsid w:val="00A8380B"/>
    <w:rsid w:val="00A845BC"/>
    <w:rsid w:val="00A918A9"/>
    <w:rsid w:val="00A93AD4"/>
    <w:rsid w:val="00A940A0"/>
    <w:rsid w:val="00A956F8"/>
    <w:rsid w:val="00A95E8A"/>
    <w:rsid w:val="00AA12AB"/>
    <w:rsid w:val="00AA45C4"/>
    <w:rsid w:val="00AA50E6"/>
    <w:rsid w:val="00AA78B5"/>
    <w:rsid w:val="00AB633A"/>
    <w:rsid w:val="00AC0658"/>
    <w:rsid w:val="00AC39E0"/>
    <w:rsid w:val="00AC47E1"/>
    <w:rsid w:val="00AD38B9"/>
    <w:rsid w:val="00AE064D"/>
    <w:rsid w:val="00AE1FCF"/>
    <w:rsid w:val="00AE3DFC"/>
    <w:rsid w:val="00AE4A96"/>
    <w:rsid w:val="00AE726A"/>
    <w:rsid w:val="00AE736A"/>
    <w:rsid w:val="00AF0A0A"/>
    <w:rsid w:val="00AF21AC"/>
    <w:rsid w:val="00AF4543"/>
    <w:rsid w:val="00AF5D29"/>
    <w:rsid w:val="00B05966"/>
    <w:rsid w:val="00B06312"/>
    <w:rsid w:val="00B06ACE"/>
    <w:rsid w:val="00B150A7"/>
    <w:rsid w:val="00B17D9D"/>
    <w:rsid w:val="00B269EA"/>
    <w:rsid w:val="00B407BF"/>
    <w:rsid w:val="00B41487"/>
    <w:rsid w:val="00B431CA"/>
    <w:rsid w:val="00B43A4E"/>
    <w:rsid w:val="00B51B8A"/>
    <w:rsid w:val="00B51F66"/>
    <w:rsid w:val="00B565C0"/>
    <w:rsid w:val="00B62874"/>
    <w:rsid w:val="00B640C0"/>
    <w:rsid w:val="00B64A74"/>
    <w:rsid w:val="00B65858"/>
    <w:rsid w:val="00B76ED1"/>
    <w:rsid w:val="00B81869"/>
    <w:rsid w:val="00B81B38"/>
    <w:rsid w:val="00B84CA9"/>
    <w:rsid w:val="00B87826"/>
    <w:rsid w:val="00B924BC"/>
    <w:rsid w:val="00B925B5"/>
    <w:rsid w:val="00B93B94"/>
    <w:rsid w:val="00B96E12"/>
    <w:rsid w:val="00B9789F"/>
    <w:rsid w:val="00BA14A9"/>
    <w:rsid w:val="00BB0153"/>
    <w:rsid w:val="00BB48DF"/>
    <w:rsid w:val="00BB61D0"/>
    <w:rsid w:val="00BB66CD"/>
    <w:rsid w:val="00BB6B43"/>
    <w:rsid w:val="00BC0E82"/>
    <w:rsid w:val="00BC2CCF"/>
    <w:rsid w:val="00BC5E37"/>
    <w:rsid w:val="00BC5FDA"/>
    <w:rsid w:val="00BC6502"/>
    <w:rsid w:val="00BC6E87"/>
    <w:rsid w:val="00BD036F"/>
    <w:rsid w:val="00BD454A"/>
    <w:rsid w:val="00BE207C"/>
    <w:rsid w:val="00BE300A"/>
    <w:rsid w:val="00BE3ED8"/>
    <w:rsid w:val="00BE5EF8"/>
    <w:rsid w:val="00BF0C8A"/>
    <w:rsid w:val="00C060D7"/>
    <w:rsid w:val="00C26ACD"/>
    <w:rsid w:val="00C313BD"/>
    <w:rsid w:val="00C33780"/>
    <w:rsid w:val="00C3473F"/>
    <w:rsid w:val="00C375EA"/>
    <w:rsid w:val="00C41BBC"/>
    <w:rsid w:val="00C42253"/>
    <w:rsid w:val="00C44838"/>
    <w:rsid w:val="00C45F64"/>
    <w:rsid w:val="00C47209"/>
    <w:rsid w:val="00C47BED"/>
    <w:rsid w:val="00C51A77"/>
    <w:rsid w:val="00C5231B"/>
    <w:rsid w:val="00C54B46"/>
    <w:rsid w:val="00C557CC"/>
    <w:rsid w:val="00C55A91"/>
    <w:rsid w:val="00C60070"/>
    <w:rsid w:val="00C60ED4"/>
    <w:rsid w:val="00C6670D"/>
    <w:rsid w:val="00C6712D"/>
    <w:rsid w:val="00C70BBC"/>
    <w:rsid w:val="00C75CB6"/>
    <w:rsid w:val="00C76BD9"/>
    <w:rsid w:val="00C829E4"/>
    <w:rsid w:val="00C82E72"/>
    <w:rsid w:val="00C85D66"/>
    <w:rsid w:val="00C90946"/>
    <w:rsid w:val="00CA53E5"/>
    <w:rsid w:val="00CB4EBD"/>
    <w:rsid w:val="00CD02E0"/>
    <w:rsid w:val="00CD0F1B"/>
    <w:rsid w:val="00CD1BD0"/>
    <w:rsid w:val="00CD3C53"/>
    <w:rsid w:val="00CD64F4"/>
    <w:rsid w:val="00CD6785"/>
    <w:rsid w:val="00CD7E0D"/>
    <w:rsid w:val="00CF059D"/>
    <w:rsid w:val="00CF1436"/>
    <w:rsid w:val="00CF3F56"/>
    <w:rsid w:val="00D00B11"/>
    <w:rsid w:val="00D0203F"/>
    <w:rsid w:val="00D03B8C"/>
    <w:rsid w:val="00D0448C"/>
    <w:rsid w:val="00D04548"/>
    <w:rsid w:val="00D056C2"/>
    <w:rsid w:val="00D1070E"/>
    <w:rsid w:val="00D11342"/>
    <w:rsid w:val="00D21709"/>
    <w:rsid w:val="00D226FD"/>
    <w:rsid w:val="00D2744F"/>
    <w:rsid w:val="00D27956"/>
    <w:rsid w:val="00D34BEB"/>
    <w:rsid w:val="00D35053"/>
    <w:rsid w:val="00D371D3"/>
    <w:rsid w:val="00D403E6"/>
    <w:rsid w:val="00D41706"/>
    <w:rsid w:val="00D42216"/>
    <w:rsid w:val="00D44BA2"/>
    <w:rsid w:val="00D5214A"/>
    <w:rsid w:val="00D52A67"/>
    <w:rsid w:val="00D54F7E"/>
    <w:rsid w:val="00D60FA7"/>
    <w:rsid w:val="00D61F98"/>
    <w:rsid w:val="00D63C8E"/>
    <w:rsid w:val="00D82683"/>
    <w:rsid w:val="00D837CC"/>
    <w:rsid w:val="00D907FD"/>
    <w:rsid w:val="00D91012"/>
    <w:rsid w:val="00D95486"/>
    <w:rsid w:val="00D96B8A"/>
    <w:rsid w:val="00D96DFA"/>
    <w:rsid w:val="00DA0BF5"/>
    <w:rsid w:val="00DA0F24"/>
    <w:rsid w:val="00DA1B9F"/>
    <w:rsid w:val="00DC01A8"/>
    <w:rsid w:val="00DC171B"/>
    <w:rsid w:val="00DC38B9"/>
    <w:rsid w:val="00DC7200"/>
    <w:rsid w:val="00DC76D2"/>
    <w:rsid w:val="00DC772D"/>
    <w:rsid w:val="00DD15E8"/>
    <w:rsid w:val="00DD2CC5"/>
    <w:rsid w:val="00DD3B9C"/>
    <w:rsid w:val="00DE1C69"/>
    <w:rsid w:val="00E036BB"/>
    <w:rsid w:val="00E10D86"/>
    <w:rsid w:val="00E13E48"/>
    <w:rsid w:val="00E13F89"/>
    <w:rsid w:val="00E15A08"/>
    <w:rsid w:val="00E235DB"/>
    <w:rsid w:val="00E273E7"/>
    <w:rsid w:val="00E27F2E"/>
    <w:rsid w:val="00E349BA"/>
    <w:rsid w:val="00E37AC2"/>
    <w:rsid w:val="00E46745"/>
    <w:rsid w:val="00E46D18"/>
    <w:rsid w:val="00E47606"/>
    <w:rsid w:val="00E754D4"/>
    <w:rsid w:val="00E81E02"/>
    <w:rsid w:val="00E8279A"/>
    <w:rsid w:val="00E853CD"/>
    <w:rsid w:val="00E96ECF"/>
    <w:rsid w:val="00E97FB3"/>
    <w:rsid w:val="00EA117D"/>
    <w:rsid w:val="00EA12A6"/>
    <w:rsid w:val="00EA399C"/>
    <w:rsid w:val="00EA6C06"/>
    <w:rsid w:val="00EC433E"/>
    <w:rsid w:val="00EC464A"/>
    <w:rsid w:val="00EC5F06"/>
    <w:rsid w:val="00EC6FE0"/>
    <w:rsid w:val="00ED26DC"/>
    <w:rsid w:val="00ED3DD4"/>
    <w:rsid w:val="00EE38A3"/>
    <w:rsid w:val="00EE42A2"/>
    <w:rsid w:val="00EE6653"/>
    <w:rsid w:val="00EF2927"/>
    <w:rsid w:val="00F06CE8"/>
    <w:rsid w:val="00F06FDF"/>
    <w:rsid w:val="00F118AB"/>
    <w:rsid w:val="00F11972"/>
    <w:rsid w:val="00F1294A"/>
    <w:rsid w:val="00F162C3"/>
    <w:rsid w:val="00F20815"/>
    <w:rsid w:val="00F24F3D"/>
    <w:rsid w:val="00F31954"/>
    <w:rsid w:val="00F335BF"/>
    <w:rsid w:val="00F3592B"/>
    <w:rsid w:val="00F359A4"/>
    <w:rsid w:val="00F3792A"/>
    <w:rsid w:val="00F404D0"/>
    <w:rsid w:val="00F4128D"/>
    <w:rsid w:val="00F451A8"/>
    <w:rsid w:val="00F462EB"/>
    <w:rsid w:val="00F51DE1"/>
    <w:rsid w:val="00F636F0"/>
    <w:rsid w:val="00F66260"/>
    <w:rsid w:val="00F71B61"/>
    <w:rsid w:val="00F74EB4"/>
    <w:rsid w:val="00F824F7"/>
    <w:rsid w:val="00F82E0F"/>
    <w:rsid w:val="00F83931"/>
    <w:rsid w:val="00F86AEA"/>
    <w:rsid w:val="00F93F17"/>
    <w:rsid w:val="00FA16B7"/>
    <w:rsid w:val="00FB39CD"/>
    <w:rsid w:val="00FB3BB5"/>
    <w:rsid w:val="00FB7344"/>
    <w:rsid w:val="00FC3ECF"/>
    <w:rsid w:val="00FC4B68"/>
    <w:rsid w:val="00FC7139"/>
    <w:rsid w:val="00FD68F7"/>
    <w:rsid w:val="00FD7941"/>
    <w:rsid w:val="00FE289A"/>
    <w:rsid w:val="00FE3771"/>
    <w:rsid w:val="00FE4086"/>
    <w:rsid w:val="00FE655F"/>
    <w:rsid w:val="00FE6ABB"/>
    <w:rsid w:val="00FF5E12"/>
    <w:rsid w:val="00FF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C4FB8"/>
  <w15:chartTrackingRefBased/>
  <w15:docId w15:val="{853C7BBD-7EEC-4C62-B2D3-4D7EBAA3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686ADD"/>
    <w:pPr>
      <w:spacing w:before="100" w:beforeAutospacing="1" w:after="100" w:afterAutospacing="1"/>
      <w:outlineLvl w:val="1"/>
    </w:pPr>
    <w:rPr>
      <w:rFonts w:ascii="Arial Bold" w:hAnsi="Arial Bold"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5407"/>
    <w:pPr>
      <w:tabs>
        <w:tab w:val="center" w:pos="4680"/>
        <w:tab w:val="right" w:pos="9360"/>
      </w:tabs>
    </w:pPr>
  </w:style>
  <w:style w:type="character" w:customStyle="1" w:styleId="HeaderChar">
    <w:name w:val="Header Char"/>
    <w:basedOn w:val="DefaultParagraphFont"/>
    <w:link w:val="Header"/>
    <w:uiPriority w:val="99"/>
    <w:rsid w:val="00A45407"/>
  </w:style>
  <w:style w:type="paragraph" w:styleId="Footer">
    <w:name w:val="footer"/>
    <w:basedOn w:val="Normal"/>
    <w:link w:val="FooterChar"/>
    <w:uiPriority w:val="99"/>
    <w:unhideWhenUsed/>
    <w:rsid w:val="00A45407"/>
    <w:pPr>
      <w:tabs>
        <w:tab w:val="center" w:pos="4680"/>
        <w:tab w:val="right" w:pos="9360"/>
      </w:tabs>
    </w:pPr>
  </w:style>
  <w:style w:type="character" w:customStyle="1" w:styleId="FooterChar">
    <w:name w:val="Footer Char"/>
    <w:basedOn w:val="DefaultParagraphFont"/>
    <w:link w:val="Footer"/>
    <w:uiPriority w:val="99"/>
    <w:rsid w:val="00A45407"/>
  </w:style>
  <w:style w:type="paragraph" w:styleId="ListParagraph">
    <w:name w:val="List Paragraph"/>
    <w:basedOn w:val="Normal"/>
    <w:link w:val="ListParagraphChar"/>
    <w:uiPriority w:val="34"/>
    <w:qFormat/>
    <w:rsid w:val="00A06B26"/>
    <w:pPr>
      <w:spacing w:after="160" w:line="259" w:lineRule="auto"/>
      <w:ind w:left="720"/>
      <w:contextualSpacing/>
    </w:pPr>
    <w:rPr>
      <w:sz w:val="22"/>
      <w:szCs w:val="22"/>
    </w:rPr>
  </w:style>
  <w:style w:type="paragraph" w:styleId="FootnoteText">
    <w:name w:val="footnote text"/>
    <w:basedOn w:val="Normal"/>
    <w:link w:val="FootnoteTextChar"/>
    <w:uiPriority w:val="99"/>
    <w:semiHidden/>
    <w:unhideWhenUsed/>
    <w:rsid w:val="00C60070"/>
    <w:rPr>
      <w:sz w:val="20"/>
      <w:szCs w:val="20"/>
    </w:rPr>
  </w:style>
  <w:style w:type="character" w:customStyle="1" w:styleId="FootnoteTextChar">
    <w:name w:val="Footnote Text Char"/>
    <w:basedOn w:val="DefaultParagraphFont"/>
    <w:link w:val="FootnoteText"/>
    <w:uiPriority w:val="99"/>
    <w:semiHidden/>
    <w:rsid w:val="00C60070"/>
    <w:rPr>
      <w:sz w:val="20"/>
      <w:szCs w:val="20"/>
    </w:rPr>
  </w:style>
  <w:style w:type="character" w:styleId="FootnoteReference">
    <w:name w:val="footnote reference"/>
    <w:basedOn w:val="DefaultParagraphFont"/>
    <w:uiPriority w:val="99"/>
    <w:semiHidden/>
    <w:unhideWhenUsed/>
    <w:rsid w:val="00C60070"/>
    <w:rPr>
      <w:vertAlign w:val="superscript"/>
    </w:rPr>
  </w:style>
  <w:style w:type="character" w:styleId="CommentReference">
    <w:name w:val="annotation reference"/>
    <w:basedOn w:val="DefaultParagraphFont"/>
    <w:uiPriority w:val="99"/>
    <w:semiHidden/>
    <w:unhideWhenUsed/>
    <w:rsid w:val="00F1294A"/>
    <w:rPr>
      <w:sz w:val="16"/>
      <w:szCs w:val="16"/>
    </w:rPr>
  </w:style>
  <w:style w:type="paragraph" w:styleId="CommentText">
    <w:name w:val="annotation text"/>
    <w:basedOn w:val="Normal"/>
    <w:link w:val="CommentTextChar"/>
    <w:uiPriority w:val="99"/>
    <w:unhideWhenUsed/>
    <w:rsid w:val="00F1294A"/>
    <w:rPr>
      <w:sz w:val="20"/>
      <w:szCs w:val="20"/>
    </w:rPr>
  </w:style>
  <w:style w:type="character" w:customStyle="1" w:styleId="CommentTextChar">
    <w:name w:val="Comment Text Char"/>
    <w:basedOn w:val="DefaultParagraphFont"/>
    <w:link w:val="CommentText"/>
    <w:uiPriority w:val="99"/>
    <w:rsid w:val="00F1294A"/>
    <w:rPr>
      <w:sz w:val="20"/>
      <w:szCs w:val="20"/>
    </w:rPr>
  </w:style>
  <w:style w:type="paragraph" w:styleId="CommentSubject">
    <w:name w:val="annotation subject"/>
    <w:basedOn w:val="CommentText"/>
    <w:next w:val="CommentText"/>
    <w:link w:val="CommentSubjectChar"/>
    <w:uiPriority w:val="99"/>
    <w:semiHidden/>
    <w:unhideWhenUsed/>
    <w:rsid w:val="00F1294A"/>
    <w:rPr>
      <w:b/>
      <w:bCs/>
    </w:rPr>
  </w:style>
  <w:style w:type="character" w:customStyle="1" w:styleId="CommentSubjectChar">
    <w:name w:val="Comment Subject Char"/>
    <w:basedOn w:val="CommentTextChar"/>
    <w:link w:val="CommentSubject"/>
    <w:uiPriority w:val="99"/>
    <w:semiHidden/>
    <w:rsid w:val="00F1294A"/>
    <w:rPr>
      <w:b/>
      <w:bCs/>
      <w:sz w:val="20"/>
      <w:szCs w:val="20"/>
    </w:rPr>
  </w:style>
  <w:style w:type="paragraph" w:styleId="Revision">
    <w:name w:val="Revision"/>
    <w:hidden/>
    <w:uiPriority w:val="99"/>
    <w:semiHidden/>
    <w:rsid w:val="00F1294A"/>
  </w:style>
  <w:style w:type="paragraph" w:styleId="BalloonText">
    <w:name w:val="Balloon Text"/>
    <w:basedOn w:val="Normal"/>
    <w:link w:val="BalloonTextChar"/>
    <w:uiPriority w:val="99"/>
    <w:semiHidden/>
    <w:unhideWhenUsed/>
    <w:rsid w:val="00F129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94A"/>
    <w:rPr>
      <w:rFonts w:ascii="Segoe UI" w:hAnsi="Segoe UI" w:cs="Segoe UI"/>
      <w:sz w:val="18"/>
      <w:szCs w:val="18"/>
    </w:rPr>
  </w:style>
  <w:style w:type="character" w:customStyle="1" w:styleId="apple-converted-space">
    <w:name w:val="apple-converted-space"/>
    <w:basedOn w:val="DefaultParagraphFont"/>
    <w:rsid w:val="00A41D7D"/>
  </w:style>
  <w:style w:type="character" w:styleId="Strong">
    <w:name w:val="Strong"/>
    <w:basedOn w:val="DefaultParagraphFont"/>
    <w:uiPriority w:val="22"/>
    <w:qFormat/>
    <w:rsid w:val="00A41D7D"/>
    <w:rPr>
      <w:b/>
      <w:bCs/>
    </w:rPr>
  </w:style>
  <w:style w:type="character" w:styleId="Hyperlink">
    <w:name w:val="Hyperlink"/>
    <w:basedOn w:val="DefaultParagraphFont"/>
    <w:uiPriority w:val="99"/>
    <w:unhideWhenUsed/>
    <w:rsid w:val="001567F5"/>
    <w:rPr>
      <w:color w:val="0563C1" w:themeColor="hyperlink"/>
      <w:u w:val="single"/>
    </w:rPr>
  </w:style>
  <w:style w:type="character" w:customStyle="1" w:styleId="UnresolvedMention1">
    <w:name w:val="Unresolved Mention1"/>
    <w:basedOn w:val="DefaultParagraphFont"/>
    <w:uiPriority w:val="99"/>
    <w:rsid w:val="001567F5"/>
    <w:rPr>
      <w:color w:val="605E5C"/>
      <w:shd w:val="clear" w:color="auto" w:fill="E1DFDD"/>
    </w:rPr>
  </w:style>
  <w:style w:type="character" w:styleId="UnresolvedMention">
    <w:name w:val="Unresolved Mention"/>
    <w:basedOn w:val="DefaultParagraphFont"/>
    <w:uiPriority w:val="99"/>
    <w:semiHidden/>
    <w:unhideWhenUsed/>
    <w:rsid w:val="00A809FF"/>
    <w:rPr>
      <w:color w:val="605E5C"/>
      <w:shd w:val="clear" w:color="auto" w:fill="E1DFDD"/>
    </w:rPr>
  </w:style>
  <w:style w:type="character" w:styleId="FollowedHyperlink">
    <w:name w:val="FollowedHyperlink"/>
    <w:basedOn w:val="DefaultParagraphFont"/>
    <w:uiPriority w:val="99"/>
    <w:semiHidden/>
    <w:unhideWhenUsed/>
    <w:rsid w:val="001C2A1F"/>
    <w:rPr>
      <w:color w:val="954F72" w:themeColor="followedHyperlink"/>
      <w:u w:val="single"/>
    </w:rPr>
  </w:style>
  <w:style w:type="paragraph" w:customStyle="1" w:styleId="Default">
    <w:name w:val="Default"/>
    <w:basedOn w:val="Normal"/>
    <w:rsid w:val="005633C1"/>
    <w:pPr>
      <w:autoSpaceDE w:val="0"/>
      <w:autoSpaceDN w:val="0"/>
    </w:pPr>
    <w:rPr>
      <w:rFonts w:ascii="Times New Roman" w:hAnsi="Times New Roman" w:cs="Times New Roman"/>
      <w:color w:val="000000"/>
    </w:rPr>
  </w:style>
  <w:style w:type="paragraph" w:styleId="NormalWeb">
    <w:name w:val="Normal (Web)"/>
    <w:basedOn w:val="Normal"/>
    <w:uiPriority w:val="99"/>
    <w:semiHidden/>
    <w:unhideWhenUsed/>
    <w:rsid w:val="003302F8"/>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686ADD"/>
    <w:rPr>
      <w:rFonts w:ascii="Arial Bold" w:hAnsi="Arial Bold" w:cs="Calibri"/>
      <w:b/>
      <w:bCs/>
    </w:rPr>
  </w:style>
  <w:style w:type="character" w:customStyle="1" w:styleId="ListParagraphChar">
    <w:name w:val="List Paragraph Char"/>
    <w:basedOn w:val="DefaultParagraphFont"/>
    <w:link w:val="ListParagraph"/>
    <w:uiPriority w:val="34"/>
    <w:locked/>
    <w:rsid w:val="00686ADD"/>
    <w:rPr>
      <w:sz w:val="22"/>
      <w:szCs w:val="22"/>
    </w:rPr>
  </w:style>
  <w:style w:type="paragraph" w:customStyle="1" w:styleId="Heading11">
    <w:name w:val="Heading 11"/>
    <w:basedOn w:val="Normal"/>
    <w:uiPriority w:val="99"/>
    <w:rsid w:val="00686ADD"/>
    <w:pPr>
      <w:keepNext/>
      <w:spacing w:before="480"/>
    </w:pPr>
    <w:rPr>
      <w:rFonts w:ascii="Arial Bold" w:hAnsi="Arial Bold" w:cs="Calibri"/>
      <w:b/>
      <w:bCs/>
      <w:smallCap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092976">
      <w:bodyDiv w:val="1"/>
      <w:marLeft w:val="0"/>
      <w:marRight w:val="0"/>
      <w:marTop w:val="0"/>
      <w:marBottom w:val="0"/>
      <w:divBdr>
        <w:top w:val="none" w:sz="0" w:space="0" w:color="auto"/>
        <w:left w:val="none" w:sz="0" w:space="0" w:color="auto"/>
        <w:bottom w:val="none" w:sz="0" w:space="0" w:color="auto"/>
        <w:right w:val="none" w:sz="0" w:space="0" w:color="auto"/>
      </w:divBdr>
    </w:div>
    <w:div w:id="497774740">
      <w:bodyDiv w:val="1"/>
      <w:marLeft w:val="0"/>
      <w:marRight w:val="0"/>
      <w:marTop w:val="0"/>
      <w:marBottom w:val="0"/>
      <w:divBdr>
        <w:top w:val="none" w:sz="0" w:space="0" w:color="auto"/>
        <w:left w:val="none" w:sz="0" w:space="0" w:color="auto"/>
        <w:bottom w:val="none" w:sz="0" w:space="0" w:color="auto"/>
        <w:right w:val="none" w:sz="0" w:space="0" w:color="auto"/>
      </w:divBdr>
      <w:divsChild>
        <w:div w:id="1234509280">
          <w:marLeft w:val="1800"/>
          <w:marRight w:val="0"/>
          <w:marTop w:val="0"/>
          <w:marBottom w:val="0"/>
          <w:divBdr>
            <w:top w:val="none" w:sz="0" w:space="0" w:color="auto"/>
            <w:left w:val="none" w:sz="0" w:space="0" w:color="auto"/>
            <w:bottom w:val="none" w:sz="0" w:space="0" w:color="auto"/>
            <w:right w:val="none" w:sz="0" w:space="0" w:color="auto"/>
          </w:divBdr>
        </w:div>
      </w:divsChild>
    </w:div>
    <w:div w:id="1009716706">
      <w:bodyDiv w:val="1"/>
      <w:marLeft w:val="0"/>
      <w:marRight w:val="0"/>
      <w:marTop w:val="0"/>
      <w:marBottom w:val="0"/>
      <w:divBdr>
        <w:top w:val="none" w:sz="0" w:space="0" w:color="auto"/>
        <w:left w:val="none" w:sz="0" w:space="0" w:color="auto"/>
        <w:bottom w:val="none" w:sz="0" w:space="0" w:color="auto"/>
        <w:right w:val="none" w:sz="0" w:space="0" w:color="auto"/>
      </w:divBdr>
    </w:div>
    <w:div w:id="1222789199">
      <w:bodyDiv w:val="1"/>
      <w:marLeft w:val="0"/>
      <w:marRight w:val="0"/>
      <w:marTop w:val="0"/>
      <w:marBottom w:val="0"/>
      <w:divBdr>
        <w:top w:val="none" w:sz="0" w:space="0" w:color="auto"/>
        <w:left w:val="none" w:sz="0" w:space="0" w:color="auto"/>
        <w:bottom w:val="none" w:sz="0" w:space="0" w:color="auto"/>
        <w:right w:val="none" w:sz="0" w:space="0" w:color="auto"/>
      </w:divBdr>
    </w:div>
    <w:div w:id="1771662268">
      <w:bodyDiv w:val="1"/>
      <w:marLeft w:val="0"/>
      <w:marRight w:val="0"/>
      <w:marTop w:val="0"/>
      <w:marBottom w:val="0"/>
      <w:divBdr>
        <w:top w:val="none" w:sz="0" w:space="0" w:color="auto"/>
        <w:left w:val="none" w:sz="0" w:space="0" w:color="auto"/>
        <w:bottom w:val="none" w:sz="0" w:space="0" w:color="auto"/>
        <w:right w:val="none" w:sz="0" w:space="0" w:color="auto"/>
      </w:divBdr>
    </w:div>
    <w:div w:id="1825661134">
      <w:bodyDiv w:val="1"/>
      <w:marLeft w:val="0"/>
      <w:marRight w:val="0"/>
      <w:marTop w:val="0"/>
      <w:marBottom w:val="0"/>
      <w:divBdr>
        <w:top w:val="none" w:sz="0" w:space="0" w:color="auto"/>
        <w:left w:val="none" w:sz="0" w:space="0" w:color="auto"/>
        <w:bottom w:val="none" w:sz="0" w:space="0" w:color="auto"/>
        <w:right w:val="none" w:sz="0" w:space="0" w:color="auto"/>
      </w:divBdr>
    </w:div>
    <w:div w:id="1946884710">
      <w:bodyDiv w:val="1"/>
      <w:marLeft w:val="0"/>
      <w:marRight w:val="0"/>
      <w:marTop w:val="0"/>
      <w:marBottom w:val="0"/>
      <w:divBdr>
        <w:top w:val="none" w:sz="0" w:space="0" w:color="auto"/>
        <w:left w:val="none" w:sz="0" w:space="0" w:color="auto"/>
        <w:bottom w:val="none" w:sz="0" w:space="0" w:color="auto"/>
        <w:right w:val="none" w:sz="0" w:space="0" w:color="auto"/>
      </w:divBdr>
    </w:div>
    <w:div w:id="1976056792">
      <w:bodyDiv w:val="1"/>
      <w:marLeft w:val="0"/>
      <w:marRight w:val="0"/>
      <w:marTop w:val="0"/>
      <w:marBottom w:val="0"/>
      <w:divBdr>
        <w:top w:val="none" w:sz="0" w:space="0" w:color="auto"/>
        <w:left w:val="none" w:sz="0" w:space="0" w:color="auto"/>
        <w:bottom w:val="none" w:sz="0" w:space="0" w:color="auto"/>
        <w:right w:val="none" w:sz="0" w:space="0" w:color="auto"/>
      </w:divBdr>
    </w:div>
    <w:div w:id="2030640335">
      <w:bodyDiv w:val="1"/>
      <w:marLeft w:val="0"/>
      <w:marRight w:val="0"/>
      <w:marTop w:val="0"/>
      <w:marBottom w:val="0"/>
      <w:divBdr>
        <w:top w:val="none" w:sz="0" w:space="0" w:color="auto"/>
        <w:left w:val="none" w:sz="0" w:space="0" w:color="auto"/>
        <w:bottom w:val="none" w:sz="0" w:space="0" w:color="auto"/>
        <w:right w:val="none" w:sz="0" w:space="0" w:color="auto"/>
      </w:divBdr>
    </w:div>
    <w:div w:id="2115050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ig.hhs.gov/oas/reports/region9/92003010RIB.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kunz@mha.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taylor\Downloads\100year_Letterhead_CA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9B1C7B-FF9C-4941-A167-519F08729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100year_Letterhead_CAC (1)</Template>
  <TotalTime>70</TotalTime>
  <Pages>6</Pages>
  <Words>3122</Words>
  <Characters>17423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Taylor</dc:creator>
  <cp:keywords/>
  <dc:description/>
  <cp:lastModifiedBy>Vickie Kunz</cp:lastModifiedBy>
  <cp:revision>12</cp:revision>
  <cp:lastPrinted>2020-10-05T21:49:00Z</cp:lastPrinted>
  <dcterms:created xsi:type="dcterms:W3CDTF">2022-09-06T12:15:00Z</dcterms:created>
  <dcterms:modified xsi:type="dcterms:W3CDTF">2022-09-07T15:09:00Z</dcterms:modified>
</cp:coreProperties>
</file>