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325" w:rsidRDefault="00500C54" w:rsidP="00F961CA">
      <w:pPr>
        <w:pStyle w:val="Heading2"/>
        <w:spacing w:before="0" w:beforeAutospacing="0" w:after="0" w:afterAutospacing="0"/>
        <w:jc w:val="center"/>
      </w:pPr>
      <w:bookmarkStart w:id="0" w:name="_GoBack"/>
      <w:bookmarkEnd w:id="0"/>
      <w:r>
        <w:t>Sample Hospital Immunization Policy</w:t>
      </w:r>
      <w:r w:rsidR="00C25195">
        <w:t xml:space="preserve"> </w:t>
      </w:r>
    </w:p>
    <w:p w:rsidR="00500C54" w:rsidRDefault="00C25195" w:rsidP="00F961CA">
      <w:pPr>
        <w:pStyle w:val="Heading2"/>
        <w:spacing w:before="0" w:beforeAutospacing="0"/>
        <w:jc w:val="center"/>
      </w:pPr>
      <w:proofErr w:type="gramStart"/>
      <w:r>
        <w:t>for</w:t>
      </w:r>
      <w:proofErr w:type="gramEnd"/>
      <w:r>
        <w:t xml:space="preserve"> Newly Hired </w:t>
      </w:r>
      <w:r w:rsidR="00767325">
        <w:t>Healthcare Personnel</w:t>
      </w:r>
    </w:p>
    <w:p w:rsidR="00500C54" w:rsidRDefault="00500C54" w:rsidP="00500C54">
      <w:pPr>
        <w:pStyle w:val="NormalWeb"/>
      </w:pPr>
      <w:r>
        <w:t xml:space="preserve">The following sample immunization policy may be used by healthcare facilities to help develop immunization policies for </w:t>
      </w:r>
      <w:r w:rsidR="00767325">
        <w:t xml:space="preserve">newly hired </w:t>
      </w:r>
      <w:r w:rsidR="00087031">
        <w:t>healthcare personnel</w:t>
      </w:r>
      <w:r w:rsidR="007E42B4">
        <w:t xml:space="preserve"> (HCP)</w:t>
      </w:r>
      <w:r>
        <w:t>.</w:t>
      </w:r>
      <w:r w:rsidR="00785C54">
        <w:t xml:space="preserve"> The Michigan Department of </w:t>
      </w:r>
      <w:r w:rsidR="002D1B34">
        <w:t>Health and Human Services</w:t>
      </w:r>
      <w:r w:rsidR="00785C54">
        <w:t xml:space="preserve"> follows recommendations made by the Advisory Committee on Immunization Practices</w:t>
      </w:r>
      <w:r w:rsidR="00041AAE">
        <w:t>,</w:t>
      </w:r>
      <w:r w:rsidR="00785C54">
        <w:t xml:space="preserve"> including recommendations for the immuni</w:t>
      </w:r>
      <w:r w:rsidR="00A4163E">
        <w:t xml:space="preserve">zation of </w:t>
      </w:r>
      <w:r w:rsidR="007E42B4">
        <w:t>HCP</w:t>
      </w:r>
      <w:r w:rsidR="00A4163E">
        <w:t>.</w:t>
      </w:r>
    </w:p>
    <w:p w:rsidR="00500C54" w:rsidRDefault="00500C54" w:rsidP="00500C54">
      <w:pPr>
        <w:pStyle w:val="Heading4"/>
      </w:pPr>
      <w:r>
        <w:t xml:space="preserve">IMMUNIZATION POLICY FOR </w:t>
      </w:r>
      <w:r w:rsidR="007E42B4">
        <w:t>HCP</w:t>
      </w:r>
    </w:p>
    <w:p w:rsidR="00500C54" w:rsidRDefault="00500C54" w:rsidP="00500C54">
      <w:pPr>
        <w:pStyle w:val="Heading5"/>
      </w:pPr>
      <w:r>
        <w:t>PURPOSE</w:t>
      </w:r>
    </w:p>
    <w:p w:rsidR="00500C54" w:rsidRDefault="00500C54" w:rsidP="00500C54">
      <w:pPr>
        <w:pStyle w:val="NormalWeb"/>
        <w:rPr>
          <w:lang w:val="en"/>
        </w:rPr>
      </w:pPr>
      <w:r>
        <w:t>T</w:t>
      </w:r>
      <w:r w:rsidR="00DA766B">
        <w:t>hese policies have been established t</w:t>
      </w:r>
      <w:r>
        <w:t xml:space="preserve">o reduce the risk of </w:t>
      </w:r>
      <w:r w:rsidR="007E42B4">
        <w:t>HCP</w:t>
      </w:r>
      <w:r>
        <w:t xml:space="preserve"> </w:t>
      </w:r>
      <w:r w:rsidR="007F4863">
        <w:t>transmitting</w:t>
      </w:r>
      <w:r>
        <w:t xml:space="preserve"> </w:t>
      </w:r>
      <w:r w:rsidR="007F4863">
        <w:t xml:space="preserve">vaccine-preventable </w:t>
      </w:r>
      <w:r>
        <w:t>disease</w:t>
      </w:r>
      <w:r w:rsidR="007F4863">
        <w:t>s</w:t>
      </w:r>
      <w:r>
        <w:t xml:space="preserve"> to patients and provide a service to the individual staff member.</w:t>
      </w:r>
      <w:r w:rsidR="004A48FA">
        <w:t xml:space="preserve"> All </w:t>
      </w:r>
      <w:r w:rsidR="007E42B4">
        <w:t>HCP</w:t>
      </w:r>
      <w:r w:rsidR="006A55DE">
        <w:t xml:space="preserve"> </w:t>
      </w:r>
      <w:r w:rsidR="004A48FA">
        <w:t xml:space="preserve">must present acceptable documentation of immunity status or submit to testing of immunity status within </w:t>
      </w:r>
      <w:r w:rsidR="00275698">
        <w:t xml:space="preserve">&lt;&lt;INSERT TIME FRAME&gt;&gt; </w:t>
      </w:r>
      <w:r w:rsidR="004A48FA">
        <w:t>of the effective date of their medical staff appointment.</w:t>
      </w:r>
      <w:r w:rsidR="004519E3">
        <w:t xml:space="preserve"> </w:t>
      </w:r>
      <w:r w:rsidR="004519E3" w:rsidRPr="004519E3">
        <w:rPr>
          <w:lang w:val="en"/>
        </w:rPr>
        <w:t xml:space="preserve">To ensure all </w:t>
      </w:r>
      <w:r w:rsidR="007E42B4">
        <w:rPr>
          <w:lang w:val="en"/>
        </w:rPr>
        <w:t>HCP</w:t>
      </w:r>
      <w:r w:rsidR="004519E3">
        <w:rPr>
          <w:lang w:val="en"/>
        </w:rPr>
        <w:t xml:space="preserve"> are up-to-</w:t>
      </w:r>
      <w:r w:rsidR="004519E3" w:rsidRPr="004519E3">
        <w:rPr>
          <w:lang w:val="en"/>
        </w:rPr>
        <w:t xml:space="preserve">date with recommended </w:t>
      </w:r>
      <w:r w:rsidR="004519E3">
        <w:rPr>
          <w:lang w:val="en"/>
        </w:rPr>
        <w:t>immunization</w:t>
      </w:r>
      <w:r w:rsidR="004519E3" w:rsidRPr="004519E3">
        <w:rPr>
          <w:lang w:val="en"/>
        </w:rPr>
        <w:t xml:space="preserve">s, </w:t>
      </w:r>
      <w:r w:rsidR="00767325">
        <w:rPr>
          <w:lang w:val="en"/>
        </w:rPr>
        <w:t>staff’s</w:t>
      </w:r>
      <w:r w:rsidR="004519E3" w:rsidRPr="004519E3">
        <w:rPr>
          <w:lang w:val="en"/>
        </w:rPr>
        <w:t xml:space="preserve"> vaccina</w:t>
      </w:r>
      <w:r w:rsidR="004519E3">
        <w:rPr>
          <w:lang w:val="en"/>
        </w:rPr>
        <w:t xml:space="preserve">tion and immunity status </w:t>
      </w:r>
      <w:r w:rsidR="00767325">
        <w:rPr>
          <w:lang w:val="en"/>
        </w:rPr>
        <w:t xml:space="preserve">will be reviewed </w:t>
      </w:r>
      <w:r w:rsidR="004519E3">
        <w:rPr>
          <w:lang w:val="en"/>
        </w:rPr>
        <w:t xml:space="preserve">at </w:t>
      </w:r>
      <w:r w:rsidR="004519E3" w:rsidRPr="004519E3">
        <w:rPr>
          <w:lang w:val="en"/>
        </w:rPr>
        <w:t>time of hire and on a regular basis (i.e., at least annually)</w:t>
      </w:r>
      <w:r w:rsidR="00767325">
        <w:rPr>
          <w:lang w:val="en"/>
        </w:rPr>
        <w:t>,</w:t>
      </w:r>
      <w:r w:rsidR="004519E3" w:rsidRPr="004519E3">
        <w:rPr>
          <w:lang w:val="en"/>
        </w:rPr>
        <w:t xml:space="preserve"> with consideration of offering</w:t>
      </w:r>
      <w:r w:rsidR="004519E3">
        <w:rPr>
          <w:lang w:val="en"/>
        </w:rPr>
        <w:t xml:space="preserve"> needed vaccines, if necessary</w:t>
      </w:r>
      <w:r w:rsidR="004519E3" w:rsidRPr="004519E3">
        <w:rPr>
          <w:lang w:val="en"/>
        </w:rPr>
        <w:t>.</w:t>
      </w:r>
    </w:p>
    <w:p w:rsidR="00AC4AA6" w:rsidRDefault="00AC4AA6" w:rsidP="00AC4AA6">
      <w:pPr>
        <w:pStyle w:val="Heading5"/>
      </w:pPr>
      <w:r>
        <w:t>DEFINITION</w:t>
      </w:r>
    </w:p>
    <w:p w:rsidR="00AC4AA6" w:rsidRDefault="00AC4AA6" w:rsidP="00500C54">
      <w:pPr>
        <w:pStyle w:val="NormalWeb"/>
      </w:pPr>
      <w:r w:rsidRPr="00AC4AA6">
        <w:t xml:space="preserve">The term </w:t>
      </w:r>
      <w:hyperlink r:id="rId8" w:history="1">
        <w:r w:rsidRPr="00AC4AA6">
          <w:rPr>
            <w:rStyle w:val="Hyperlink"/>
          </w:rPr>
          <w:t>HCP in</w:t>
        </w:r>
        <w:r w:rsidRPr="00AC4AA6">
          <w:rPr>
            <w:rStyle w:val="Hyperlink"/>
          </w:rPr>
          <w:t>c</w:t>
        </w:r>
        <w:r w:rsidRPr="00AC4AA6">
          <w:rPr>
            <w:rStyle w:val="Hyperlink"/>
          </w:rPr>
          <w:t>l</w:t>
        </w:r>
        <w:r w:rsidRPr="00AC4AA6">
          <w:rPr>
            <w:rStyle w:val="Hyperlink"/>
          </w:rPr>
          <w:t>u</w:t>
        </w:r>
        <w:r w:rsidRPr="00AC4AA6">
          <w:rPr>
            <w:rStyle w:val="Hyperlink"/>
          </w:rPr>
          <w:t>des</w:t>
        </w:r>
      </w:hyperlink>
      <w:r w:rsidRPr="00AC4AA6">
        <w:t xml:space="preserve"> all paid and unpaid persons working at </w:t>
      </w:r>
      <w:r w:rsidR="00767325" w:rsidRPr="00F961CA">
        <w:rPr>
          <w:b/>
        </w:rPr>
        <w:t>&lt;&lt;</w:t>
      </w:r>
      <w:r w:rsidRPr="00AC4AA6">
        <w:rPr>
          <w:b/>
          <w:bCs/>
        </w:rPr>
        <w:t>INSERT FACILITY NAME HERE</w:t>
      </w:r>
      <w:r w:rsidR="00767325">
        <w:rPr>
          <w:b/>
          <w:bCs/>
        </w:rPr>
        <w:t>&gt;&gt;</w:t>
      </w:r>
      <w:r w:rsidRPr="00AC4AA6">
        <w:rPr>
          <w:b/>
          <w:bCs/>
        </w:rPr>
        <w:t xml:space="preserve"> </w:t>
      </w:r>
      <w:r w:rsidRPr="00AC4AA6">
        <w:t xml:space="preserve">who have the potential for exposure to patients with </w:t>
      </w:r>
      <w:r>
        <w:t>vaccine-preventable diseases</w:t>
      </w:r>
      <w:r w:rsidRPr="00AC4AA6">
        <w:t xml:space="preserve">. HCP might include (but are not limited to) physicians, nurses, nursing assistants, therapists, technicians, emergency medical service personnel, dental personnel, pharmacists, laboratory personnel, autopsy personnel, students and trainees, </w:t>
      </w:r>
      <w:proofErr w:type="gramStart"/>
      <w:r w:rsidRPr="00AC4AA6">
        <w:t>contractual</w:t>
      </w:r>
      <w:proofErr w:type="gramEnd"/>
      <w:r w:rsidRPr="00AC4AA6">
        <w:t xml:space="preserve"> staff not employed by the </w:t>
      </w:r>
      <w:r w:rsidR="00041AAE">
        <w:t>health</w:t>
      </w:r>
      <w:r w:rsidRPr="00AC4AA6">
        <w:t>care facility, and employees (e.g., clerical, dietary, housekeeping, maintenance</w:t>
      </w:r>
      <w:r w:rsidR="00041AAE">
        <w:t xml:space="preserve"> and</w:t>
      </w:r>
      <w:r w:rsidRPr="00AC4AA6">
        <w:t xml:space="preserve"> volunteers) not directly involved in patient care but potentially exposed to infectious agents that can be transmitted to and from HCP.</w:t>
      </w:r>
    </w:p>
    <w:p w:rsidR="00500C54" w:rsidRDefault="00500C54" w:rsidP="001E4080">
      <w:pPr>
        <w:pStyle w:val="Heading5"/>
      </w:pPr>
      <w:r>
        <w:t>POLICY</w:t>
      </w:r>
    </w:p>
    <w:p w:rsidR="00C25195" w:rsidRDefault="00C25195" w:rsidP="00D50D13">
      <w:pPr>
        <w:numPr>
          <w:ilvl w:val="0"/>
          <w:numId w:val="1"/>
        </w:numPr>
        <w:tabs>
          <w:tab w:val="clear" w:pos="720"/>
          <w:tab w:val="left" w:pos="360"/>
          <w:tab w:val="left" w:pos="810"/>
        </w:tabs>
        <w:ind w:left="360"/>
        <w:rPr>
          <w:rStyle w:val="Strong"/>
          <w:b w:val="0"/>
          <w:bCs w:val="0"/>
        </w:rPr>
      </w:pPr>
      <w:r w:rsidRPr="00767325">
        <w:rPr>
          <w:rStyle w:val="Strong"/>
          <w:bCs w:val="0"/>
        </w:rPr>
        <w:t>Influenza:</w:t>
      </w:r>
      <w:r>
        <w:rPr>
          <w:rStyle w:val="Strong"/>
          <w:b w:val="0"/>
          <w:bCs w:val="0"/>
        </w:rPr>
        <w:t xml:space="preserve"> All HCP should receive one dose of influenza vaccine annually during influenza season.</w:t>
      </w:r>
    </w:p>
    <w:p w:rsidR="00C25195" w:rsidRPr="001E4080" w:rsidRDefault="00C25195" w:rsidP="001E4080">
      <w:pPr>
        <w:tabs>
          <w:tab w:val="left" w:pos="360"/>
          <w:tab w:val="left" w:pos="810"/>
        </w:tabs>
        <w:ind w:left="360"/>
        <w:rPr>
          <w:rStyle w:val="Strong"/>
          <w:b w:val="0"/>
          <w:bCs w:val="0"/>
        </w:rPr>
      </w:pPr>
    </w:p>
    <w:p w:rsidR="00C25195" w:rsidRPr="00433894" w:rsidRDefault="004A48FA" w:rsidP="00C25195">
      <w:pPr>
        <w:numPr>
          <w:ilvl w:val="0"/>
          <w:numId w:val="1"/>
        </w:numPr>
        <w:tabs>
          <w:tab w:val="clear" w:pos="720"/>
          <w:tab w:val="left" w:pos="360"/>
          <w:tab w:val="left" w:pos="810"/>
        </w:tabs>
        <w:ind w:left="360"/>
      </w:pPr>
      <w:r w:rsidRPr="00433894">
        <w:rPr>
          <w:rStyle w:val="Strong"/>
        </w:rPr>
        <w:t>Tetanus, Dip</w:t>
      </w:r>
      <w:r w:rsidR="007D69EF" w:rsidRPr="00433894">
        <w:rPr>
          <w:rStyle w:val="Strong"/>
        </w:rPr>
        <w:t>h</w:t>
      </w:r>
      <w:r w:rsidRPr="00433894">
        <w:rPr>
          <w:rStyle w:val="Strong"/>
        </w:rPr>
        <w:t>theria and Pertussis</w:t>
      </w:r>
      <w:r w:rsidR="00500C54" w:rsidRPr="00433894">
        <w:rPr>
          <w:rStyle w:val="Strong"/>
        </w:rPr>
        <w:t>:</w:t>
      </w:r>
      <w:r w:rsidR="00500C54" w:rsidRPr="00433894">
        <w:t xml:space="preserve"> </w:t>
      </w:r>
      <w:r w:rsidR="00C71136" w:rsidRPr="00433894">
        <w:t xml:space="preserve">Regardless of age and </w:t>
      </w:r>
      <w:r w:rsidR="00BE18CD" w:rsidRPr="00433894">
        <w:t xml:space="preserve">interval since the previous dose of </w:t>
      </w:r>
      <w:r w:rsidR="00C71136" w:rsidRPr="00433894">
        <w:t xml:space="preserve">tetanus and diphtheria (Td) vaccination, </w:t>
      </w:r>
      <w:r w:rsidR="007E42B4" w:rsidRPr="00433894">
        <w:t>HCP</w:t>
      </w:r>
      <w:r w:rsidR="00C71136" w:rsidRPr="00433894">
        <w:t xml:space="preserve"> should receive a single dose of tetanus, diphtheria, and acellular pertussis (Tdap) vaccine as soon as feasible if they have not previously received it.</w:t>
      </w:r>
      <w:r w:rsidR="00BF1381" w:rsidRPr="00433894">
        <w:t xml:space="preserve"> Prevaccination serologic testing is not recommended.</w:t>
      </w:r>
      <w:r w:rsidR="00BE18CD" w:rsidRPr="00433894">
        <w:t xml:space="preserve"> </w:t>
      </w:r>
      <w:r w:rsidR="00C25195">
        <w:t>All HCP should then receive a Td booster every 10 years thereafter.</w:t>
      </w:r>
    </w:p>
    <w:p w:rsidR="00433894" w:rsidRPr="00433894" w:rsidRDefault="00C25195" w:rsidP="00C25195">
      <w:pPr>
        <w:tabs>
          <w:tab w:val="left" w:pos="360"/>
          <w:tab w:val="left" w:pos="810"/>
        </w:tabs>
        <w:ind w:left="360"/>
      </w:pPr>
      <w:r>
        <w:t>Female HCP should receive Tdap vaccin</w:t>
      </w:r>
      <w:r w:rsidR="00D76781">
        <w:t>e</w:t>
      </w:r>
      <w:r>
        <w:t xml:space="preserve"> during each pregnancy, preferably during 27-36 weeks gestation. </w:t>
      </w:r>
    </w:p>
    <w:p w:rsidR="00D50D13" w:rsidRPr="00D50D13" w:rsidRDefault="00D50D13" w:rsidP="00433894">
      <w:pPr>
        <w:tabs>
          <w:tab w:val="left" w:pos="360"/>
          <w:tab w:val="left" w:pos="810"/>
        </w:tabs>
      </w:pPr>
    </w:p>
    <w:p w:rsidR="00FC033F" w:rsidRDefault="004A48FA" w:rsidP="00FC033F">
      <w:pPr>
        <w:numPr>
          <w:ilvl w:val="0"/>
          <w:numId w:val="1"/>
        </w:numPr>
        <w:tabs>
          <w:tab w:val="clear" w:pos="720"/>
          <w:tab w:val="left" w:pos="360"/>
          <w:tab w:val="left" w:pos="810"/>
        </w:tabs>
        <w:ind w:left="360"/>
      </w:pPr>
      <w:r w:rsidRPr="00A76C14">
        <w:rPr>
          <w:b/>
        </w:rPr>
        <w:lastRenderedPageBreak/>
        <w:t>Measles, Mumps and</w:t>
      </w:r>
      <w:r>
        <w:t xml:space="preserve"> </w:t>
      </w:r>
      <w:r w:rsidR="00500C54">
        <w:rPr>
          <w:rStyle w:val="Strong"/>
        </w:rPr>
        <w:t>Rubella</w:t>
      </w:r>
      <w:r w:rsidR="00133CDF">
        <w:rPr>
          <w:rStyle w:val="Strong"/>
        </w:rPr>
        <w:t xml:space="preserve"> (MMR)</w:t>
      </w:r>
      <w:r w:rsidR="00500C54">
        <w:rPr>
          <w:rStyle w:val="Strong"/>
        </w:rPr>
        <w:t>:</w:t>
      </w:r>
      <w:r w:rsidR="00500C54">
        <w:t xml:space="preserve"> All individuals will be assessed for immunity against </w:t>
      </w:r>
      <w:r>
        <w:t xml:space="preserve">measles, mumps and </w:t>
      </w:r>
      <w:r w:rsidR="00500C54">
        <w:t xml:space="preserve">rubella. </w:t>
      </w:r>
      <w:r w:rsidR="007E42B4">
        <w:t>HCP</w:t>
      </w:r>
      <w:r w:rsidR="00133CDF">
        <w:t xml:space="preserve"> with two documented valid doses of MMR are not recommended to be serologically tested for immunity; but if they are tested and results are negative or equivocal for measles, mumps and/or rubella, staff should be considered to have presumptive evidence of immunity and are not in need of additional MMR doses</w:t>
      </w:r>
      <w:r w:rsidR="003B4041">
        <w:t>.</w:t>
      </w:r>
    </w:p>
    <w:p w:rsidR="00A76C14" w:rsidRPr="001E4080" w:rsidRDefault="00A76C14" w:rsidP="001E4080">
      <w:pPr>
        <w:numPr>
          <w:ilvl w:val="0"/>
          <w:numId w:val="4"/>
        </w:numPr>
        <w:tabs>
          <w:tab w:val="left" w:pos="360"/>
          <w:tab w:val="left" w:pos="810"/>
        </w:tabs>
        <w:ind w:left="792" w:hanging="432"/>
      </w:pPr>
      <w:r w:rsidRPr="001E4080">
        <w:rPr>
          <w:rFonts w:cs="Scala Sans Offc"/>
          <w:color w:val="000000"/>
        </w:rPr>
        <w:t xml:space="preserve">HCP born in 1957 or later can be considered immune to measles, mumps or rubella only if they have documentation of (a) laboratory confirmation of disease or immunity or (b) appropriate vaccination against measles, mumps and rubella (i.e., </w:t>
      </w:r>
      <w:r w:rsidR="00767325" w:rsidRPr="001E4080">
        <w:rPr>
          <w:rFonts w:cs="Scala Sans Offc"/>
          <w:color w:val="000000"/>
        </w:rPr>
        <w:t>two</w:t>
      </w:r>
      <w:r w:rsidRPr="001E4080">
        <w:rPr>
          <w:rFonts w:cs="Scala Sans Offc"/>
          <w:color w:val="000000"/>
        </w:rPr>
        <w:t xml:space="preserve"> doses of live measles and mumps vaccines given on or after the first birthday and separated by 28 days or more, and at least </w:t>
      </w:r>
      <w:r w:rsidR="00767325" w:rsidRPr="001E4080">
        <w:rPr>
          <w:rFonts w:cs="Scala Sans Offc"/>
          <w:color w:val="000000"/>
        </w:rPr>
        <w:t>one</w:t>
      </w:r>
      <w:r w:rsidRPr="001E4080">
        <w:rPr>
          <w:rFonts w:cs="Scala Sans Offc"/>
          <w:color w:val="000000"/>
        </w:rPr>
        <w:t xml:space="preserve"> dose of live rubella vaccine). </w:t>
      </w:r>
    </w:p>
    <w:p w:rsidR="00FC033F" w:rsidRPr="001E4080" w:rsidRDefault="00311B14" w:rsidP="001E4080">
      <w:pPr>
        <w:numPr>
          <w:ilvl w:val="0"/>
          <w:numId w:val="4"/>
        </w:numPr>
        <w:tabs>
          <w:tab w:val="left" w:pos="360"/>
          <w:tab w:val="left" w:pos="810"/>
        </w:tabs>
        <w:ind w:left="792" w:hanging="432"/>
      </w:pPr>
      <w:r w:rsidRPr="001E4080">
        <w:rPr>
          <w:rFonts w:cs="Scala Sans Offc"/>
          <w:color w:val="000000"/>
        </w:rPr>
        <w:t xml:space="preserve">The birth date of </w:t>
      </w:r>
      <w:r w:rsidR="00D41A19" w:rsidRPr="001E4080">
        <w:rPr>
          <w:rFonts w:cs="Scala Sans Offc"/>
          <w:color w:val="000000"/>
        </w:rPr>
        <w:t>HCP born before 1957 generally is con</w:t>
      </w:r>
      <w:r w:rsidR="00A76C14" w:rsidRPr="001E4080">
        <w:rPr>
          <w:rFonts w:cs="Scala Sans Offc"/>
          <w:color w:val="000000"/>
        </w:rPr>
        <w:t>sidered acceptable evidence of measles, mumps and rubella immunity</w:t>
      </w:r>
      <w:r w:rsidR="00D41A19" w:rsidRPr="001E4080">
        <w:rPr>
          <w:rFonts w:cs="Scala Sans Offc"/>
          <w:color w:val="000000"/>
        </w:rPr>
        <w:t xml:space="preserve">. </w:t>
      </w:r>
      <w:r w:rsidRPr="001E4080">
        <w:rPr>
          <w:rFonts w:cs="Scala Sans Offc"/>
          <w:color w:val="000000"/>
        </w:rPr>
        <w:t xml:space="preserve">Two </w:t>
      </w:r>
      <w:r w:rsidR="00A76C14" w:rsidRPr="001E4080">
        <w:rPr>
          <w:rFonts w:cs="Scala Sans Offc"/>
          <w:color w:val="000000"/>
        </w:rPr>
        <w:t>doses of MMR vaccine should be considered for unvacci</w:t>
      </w:r>
      <w:r w:rsidR="00A76C14" w:rsidRPr="001E4080">
        <w:rPr>
          <w:rFonts w:cs="Scala Sans Offc"/>
          <w:color w:val="000000"/>
        </w:rPr>
        <w:softHyphen/>
        <w:t xml:space="preserve">nated HCP born before 1957 who do not have laboratory evidence of disease or immunity to measles and/or mumps. One dose of MMR vaccine should be considered for HCP with no laboratory evidence of disease or immunity to rubella. For these same HCP who do not have evidence of immunity, </w:t>
      </w:r>
      <w:r w:rsidRPr="001E4080">
        <w:rPr>
          <w:rFonts w:cs="Scala Sans Offc"/>
          <w:color w:val="000000"/>
        </w:rPr>
        <w:t xml:space="preserve">two </w:t>
      </w:r>
      <w:r w:rsidR="00A76C14" w:rsidRPr="001E4080">
        <w:rPr>
          <w:rFonts w:cs="Scala Sans Offc"/>
          <w:color w:val="000000"/>
        </w:rPr>
        <w:t xml:space="preserve">doses of MMR vaccine are recommended during an outbreak of measles or mumps and </w:t>
      </w:r>
      <w:r w:rsidRPr="001E4080">
        <w:rPr>
          <w:rFonts w:cs="Scala Sans Offc"/>
          <w:color w:val="000000"/>
        </w:rPr>
        <w:t xml:space="preserve">one </w:t>
      </w:r>
      <w:r w:rsidR="00A76C14" w:rsidRPr="001E4080">
        <w:rPr>
          <w:rFonts w:cs="Scala Sans Offc"/>
          <w:color w:val="000000"/>
        </w:rPr>
        <w:t>dose during an outbreak of rubella.</w:t>
      </w:r>
    </w:p>
    <w:p w:rsidR="001A1676" w:rsidRDefault="001A1676" w:rsidP="001A1676">
      <w:pPr>
        <w:tabs>
          <w:tab w:val="left" w:pos="360"/>
          <w:tab w:val="left" w:pos="810"/>
        </w:tabs>
        <w:ind w:left="360"/>
        <w:rPr>
          <w:rStyle w:val="Strong"/>
        </w:rPr>
      </w:pPr>
    </w:p>
    <w:p w:rsidR="0030157F" w:rsidRDefault="00FC033F" w:rsidP="00FD3D3D">
      <w:pPr>
        <w:numPr>
          <w:ilvl w:val="0"/>
          <w:numId w:val="1"/>
        </w:numPr>
        <w:tabs>
          <w:tab w:val="clear" w:pos="720"/>
          <w:tab w:val="left" w:pos="360"/>
          <w:tab w:val="left" w:pos="810"/>
        </w:tabs>
        <w:ind w:left="360"/>
      </w:pPr>
      <w:r>
        <w:rPr>
          <w:rStyle w:val="Strong"/>
        </w:rPr>
        <w:t>Hepatitis B:</w:t>
      </w:r>
      <w:r>
        <w:t xml:space="preserve"> </w:t>
      </w:r>
      <w:r w:rsidR="0030157F">
        <w:t xml:space="preserve">All HCP whose work, training and volunteer-related activities involve reasonably anticipated risk for exposure to blood or body fluids should be vaccinated with a complete </w:t>
      </w:r>
      <w:r w:rsidR="0030157F" w:rsidRPr="00FD3D3D">
        <w:rPr>
          <w:u w:val="single"/>
        </w:rPr>
        <w:t>&gt;</w:t>
      </w:r>
      <w:r w:rsidR="0030157F">
        <w:t xml:space="preserve"> </w:t>
      </w:r>
      <w:r w:rsidR="00CB3BB2">
        <w:t>three</w:t>
      </w:r>
      <w:r w:rsidR="0030157F">
        <w:t>-dose hepatitis B (</w:t>
      </w:r>
      <w:proofErr w:type="spellStart"/>
      <w:r w:rsidR="0030157F">
        <w:t>hepB</w:t>
      </w:r>
      <w:proofErr w:type="spellEnd"/>
      <w:r w:rsidR="0030157F">
        <w:t xml:space="preserve">) vaccine series. </w:t>
      </w:r>
      <w:r w:rsidR="00CB3BB2">
        <w:t xml:space="preserve">The Michigan Occupational Safety and Health Administration </w:t>
      </w:r>
      <w:hyperlink r:id="rId9" w:history="1">
        <w:r w:rsidR="00CB3BB2" w:rsidRPr="00092B36">
          <w:rPr>
            <w:rStyle w:val="Hyperlink"/>
          </w:rPr>
          <w:t>man</w:t>
        </w:r>
        <w:r w:rsidR="00CB3BB2" w:rsidRPr="00092B36">
          <w:rPr>
            <w:rStyle w:val="Hyperlink"/>
          </w:rPr>
          <w:t>d</w:t>
        </w:r>
        <w:r w:rsidR="00CB3BB2" w:rsidRPr="00092B36">
          <w:rPr>
            <w:rStyle w:val="Hyperlink"/>
          </w:rPr>
          <w:t>ates</w:t>
        </w:r>
      </w:hyperlink>
      <w:r w:rsidR="00CB3BB2">
        <w:t xml:space="preserve"> </w:t>
      </w:r>
      <w:r w:rsidR="0030157F">
        <w:t xml:space="preserve">that vaccination and testing be available for employees within 10 days of initial assignment.  </w:t>
      </w:r>
    </w:p>
    <w:p w:rsidR="00FD3D3D" w:rsidRPr="00FD3D3D" w:rsidRDefault="00FD3D3D" w:rsidP="00FD3D3D">
      <w:pPr>
        <w:pStyle w:val="ListParagraph"/>
        <w:numPr>
          <w:ilvl w:val="0"/>
          <w:numId w:val="9"/>
        </w:numPr>
        <w:tabs>
          <w:tab w:val="left" w:pos="360"/>
          <w:tab w:val="left" w:pos="810"/>
        </w:tabs>
        <w:ind w:left="792" w:hanging="432"/>
        <w:contextualSpacing/>
        <w:rPr>
          <w:rStyle w:val="Strong"/>
          <w:b w:val="0"/>
          <w:bCs w:val="0"/>
        </w:rPr>
      </w:pPr>
      <w:r>
        <w:t xml:space="preserve">HCP who are unvaccinated and/or those who cannot provide documentation of </w:t>
      </w:r>
      <w:proofErr w:type="spellStart"/>
      <w:r>
        <w:t>hepB</w:t>
      </w:r>
      <w:proofErr w:type="spellEnd"/>
      <w:r>
        <w:t xml:space="preserve"> vaccination should receive </w:t>
      </w:r>
      <w:r>
        <w:rPr>
          <w:u w:val="single"/>
        </w:rPr>
        <w:t>&gt;</w:t>
      </w:r>
      <w:r>
        <w:t xml:space="preserve"> three-dose series of </w:t>
      </w:r>
      <w:proofErr w:type="spellStart"/>
      <w:r>
        <w:t>hepB</w:t>
      </w:r>
      <w:proofErr w:type="spellEnd"/>
      <w:r>
        <w:t xml:space="preserve"> vaccine at 0, 1 and 6 months. </w:t>
      </w:r>
      <w:r w:rsidRPr="00FD3D3D">
        <w:rPr>
          <w:rStyle w:val="Strong"/>
          <w:b w:val="0"/>
        </w:rPr>
        <w:t xml:space="preserve">If HCP has an incomplete </w:t>
      </w:r>
      <w:proofErr w:type="spellStart"/>
      <w:r w:rsidRPr="00FD3D3D">
        <w:rPr>
          <w:rStyle w:val="Strong"/>
          <w:b w:val="0"/>
        </w:rPr>
        <w:t>hepB</w:t>
      </w:r>
      <w:proofErr w:type="spellEnd"/>
      <w:r w:rsidRPr="00FD3D3D">
        <w:rPr>
          <w:rStyle w:val="Strong"/>
          <w:b w:val="0"/>
        </w:rPr>
        <w:t xml:space="preserve"> vaccine series, they should receive additional dose(s) to complete their three-dose </w:t>
      </w:r>
      <w:proofErr w:type="spellStart"/>
      <w:r w:rsidRPr="00FD3D3D">
        <w:rPr>
          <w:rStyle w:val="Strong"/>
          <w:b w:val="0"/>
        </w:rPr>
        <w:t>hepB</w:t>
      </w:r>
      <w:proofErr w:type="spellEnd"/>
      <w:r w:rsidRPr="00FD3D3D">
        <w:rPr>
          <w:rStyle w:val="Strong"/>
          <w:b w:val="0"/>
        </w:rPr>
        <w:t xml:space="preserve"> vaccine series. HCP who perform tasks that may involve exposure to blood or body fluids should have serologic testing for hepatitis B surface antibody (anti-HBs) one to two</w:t>
      </w:r>
      <w:r w:rsidRPr="00822182">
        <w:rPr>
          <w:rStyle w:val="Strong"/>
          <w:b w:val="0"/>
        </w:rPr>
        <w:t xml:space="preserve"> months after the third </w:t>
      </w:r>
      <w:r w:rsidRPr="00FD3D3D">
        <w:rPr>
          <w:rStyle w:val="Strong"/>
          <w:b w:val="0"/>
        </w:rPr>
        <w:t xml:space="preserve">vaccine </w:t>
      </w:r>
      <w:r w:rsidRPr="00822182">
        <w:rPr>
          <w:rStyle w:val="Strong"/>
          <w:b w:val="0"/>
        </w:rPr>
        <w:t xml:space="preserve">dose to document immunity. </w:t>
      </w:r>
    </w:p>
    <w:p w:rsidR="00FD3D3D" w:rsidRPr="00FD3D3D" w:rsidRDefault="00FD3D3D" w:rsidP="00FD3D3D">
      <w:pPr>
        <w:pStyle w:val="ListParagraph"/>
        <w:numPr>
          <w:ilvl w:val="0"/>
          <w:numId w:val="9"/>
        </w:numPr>
        <w:tabs>
          <w:tab w:val="left" w:pos="360"/>
          <w:tab w:val="left" w:pos="810"/>
        </w:tabs>
        <w:ind w:left="792" w:hanging="432"/>
        <w:contextualSpacing/>
      </w:pPr>
      <w:r w:rsidRPr="00822182">
        <w:rPr>
          <w:rStyle w:val="Strong"/>
          <w:b w:val="0"/>
        </w:rPr>
        <w:t xml:space="preserve">HCP who are at risk of occupational blood or body fluid exposure </w:t>
      </w:r>
      <w:r w:rsidRPr="00FD3D3D">
        <w:rPr>
          <w:rStyle w:val="Strong"/>
          <w:b w:val="0"/>
        </w:rPr>
        <w:t>and who have</w:t>
      </w:r>
      <w:r w:rsidRPr="00822182">
        <w:rPr>
          <w:rStyle w:val="Strong"/>
          <w:b w:val="0"/>
        </w:rPr>
        <w:t xml:space="preserve"> documentation of a complete </w:t>
      </w:r>
      <w:proofErr w:type="spellStart"/>
      <w:r w:rsidRPr="00822182">
        <w:rPr>
          <w:rStyle w:val="Strong"/>
          <w:b w:val="0"/>
        </w:rPr>
        <w:t>hepB</w:t>
      </w:r>
      <w:proofErr w:type="spellEnd"/>
      <w:r w:rsidRPr="00822182">
        <w:rPr>
          <w:rStyle w:val="Strong"/>
          <w:b w:val="0"/>
        </w:rPr>
        <w:t xml:space="preserve"> vaccine series of </w:t>
      </w:r>
      <w:r w:rsidRPr="00822182">
        <w:rPr>
          <w:rStyle w:val="Strong"/>
          <w:b w:val="0"/>
          <w:u w:val="single"/>
        </w:rPr>
        <w:t>&gt;</w:t>
      </w:r>
      <w:r w:rsidRPr="00822182">
        <w:rPr>
          <w:rStyle w:val="Strong"/>
          <w:b w:val="0"/>
        </w:rPr>
        <w:t xml:space="preserve"> </w:t>
      </w:r>
      <w:r w:rsidRPr="00FD3D3D">
        <w:rPr>
          <w:rStyle w:val="Strong"/>
          <w:b w:val="0"/>
        </w:rPr>
        <w:t>three</w:t>
      </w:r>
      <w:r w:rsidRPr="00822182">
        <w:rPr>
          <w:rStyle w:val="Strong"/>
          <w:b w:val="0"/>
        </w:rPr>
        <w:t xml:space="preserve"> doses, but no documentation of anti-HBs of 10mIU/mL or greater, should consider anti-HB testing. </w:t>
      </w:r>
      <w:r w:rsidRPr="00FD3D3D">
        <w:rPr>
          <w:rStyle w:val="Strong"/>
          <w:b w:val="0"/>
        </w:rPr>
        <w:t xml:space="preserve">The employee is considered immune if the test shows anti-HBs of </w:t>
      </w:r>
      <w:r w:rsidRPr="00822182">
        <w:rPr>
          <w:rStyle w:val="Strong"/>
          <w:b w:val="0"/>
        </w:rPr>
        <w:t>10mIU/mL or greater</w:t>
      </w:r>
      <w:r w:rsidRPr="00FD3D3D">
        <w:rPr>
          <w:rStyle w:val="Strong"/>
          <w:b w:val="0"/>
        </w:rPr>
        <w:t>. If the test indicates a level of</w:t>
      </w:r>
      <w:r w:rsidRPr="00822182">
        <w:rPr>
          <w:rStyle w:val="Strong"/>
          <w:b w:val="0"/>
        </w:rPr>
        <w:t xml:space="preserve"> less than 10mIU/mL, </w:t>
      </w:r>
      <w:r w:rsidR="00424BCE">
        <w:rPr>
          <w:rStyle w:val="Strong"/>
          <w:b w:val="0"/>
        </w:rPr>
        <w:t>another</w:t>
      </w:r>
      <w:r w:rsidRPr="00822182">
        <w:rPr>
          <w:rStyle w:val="Strong"/>
          <w:b w:val="0"/>
        </w:rPr>
        <w:t xml:space="preserve"> dose of </w:t>
      </w:r>
      <w:proofErr w:type="spellStart"/>
      <w:r w:rsidRPr="00822182">
        <w:rPr>
          <w:rStyle w:val="Strong"/>
          <w:b w:val="0"/>
        </w:rPr>
        <w:t>hepB</w:t>
      </w:r>
      <w:proofErr w:type="spellEnd"/>
      <w:r w:rsidRPr="00822182">
        <w:rPr>
          <w:rStyle w:val="Strong"/>
          <w:b w:val="0"/>
        </w:rPr>
        <w:t xml:space="preserve"> vaccine </w:t>
      </w:r>
      <w:r w:rsidRPr="00FD3D3D">
        <w:rPr>
          <w:rStyle w:val="Strong"/>
          <w:b w:val="0"/>
        </w:rPr>
        <w:t xml:space="preserve">should be given, </w:t>
      </w:r>
      <w:r w:rsidRPr="00822182">
        <w:rPr>
          <w:rStyle w:val="Strong"/>
          <w:b w:val="0"/>
        </w:rPr>
        <w:t xml:space="preserve">followed by anti-HBs testing </w:t>
      </w:r>
      <w:r w:rsidRPr="00FD3D3D">
        <w:rPr>
          <w:rStyle w:val="Strong"/>
          <w:b w:val="0"/>
        </w:rPr>
        <w:t>one to two</w:t>
      </w:r>
      <w:r w:rsidRPr="00822182">
        <w:rPr>
          <w:rStyle w:val="Strong"/>
          <w:b w:val="0"/>
        </w:rPr>
        <w:t xml:space="preserve"> months later. If </w:t>
      </w:r>
      <w:r w:rsidRPr="00FD3D3D">
        <w:rPr>
          <w:rStyle w:val="Strong"/>
          <w:b w:val="0"/>
        </w:rPr>
        <w:t xml:space="preserve">this test indicates a level of </w:t>
      </w:r>
      <w:r w:rsidRPr="00822182">
        <w:rPr>
          <w:rStyle w:val="Strong"/>
          <w:b w:val="0"/>
        </w:rPr>
        <w:t xml:space="preserve">10mIU/mL or greater, </w:t>
      </w:r>
      <w:r w:rsidRPr="00FD3D3D">
        <w:rPr>
          <w:rStyle w:val="Strong"/>
          <w:b w:val="0"/>
        </w:rPr>
        <w:t xml:space="preserve">the HCP’s </w:t>
      </w:r>
      <w:r w:rsidRPr="00822182">
        <w:rPr>
          <w:rStyle w:val="Strong"/>
          <w:b w:val="0"/>
        </w:rPr>
        <w:t>immunity</w:t>
      </w:r>
      <w:r w:rsidRPr="00FD3D3D">
        <w:rPr>
          <w:rStyle w:val="Strong"/>
          <w:b w:val="0"/>
        </w:rPr>
        <w:t xml:space="preserve"> should be documented</w:t>
      </w:r>
      <w:r w:rsidRPr="00822182">
        <w:rPr>
          <w:rStyle w:val="Strong"/>
          <w:b w:val="0"/>
        </w:rPr>
        <w:t xml:space="preserve">. If </w:t>
      </w:r>
      <w:r w:rsidRPr="00FD3D3D">
        <w:rPr>
          <w:rStyle w:val="Strong"/>
          <w:b w:val="0"/>
        </w:rPr>
        <w:t xml:space="preserve">the anti-HBs test indicates a level of </w:t>
      </w:r>
      <w:r w:rsidRPr="00822182">
        <w:rPr>
          <w:rStyle w:val="Strong"/>
          <w:b w:val="0"/>
        </w:rPr>
        <w:t xml:space="preserve">less than 10mIU/mL, </w:t>
      </w:r>
      <w:r w:rsidRPr="00FD3D3D">
        <w:rPr>
          <w:rStyle w:val="Strong"/>
          <w:b w:val="0"/>
        </w:rPr>
        <w:t>a second</w:t>
      </w:r>
      <w:r w:rsidRPr="00822182">
        <w:rPr>
          <w:rStyle w:val="Strong"/>
          <w:b w:val="0"/>
        </w:rPr>
        <w:t xml:space="preserve"> </w:t>
      </w:r>
      <w:proofErr w:type="spellStart"/>
      <w:r w:rsidRPr="00822182">
        <w:rPr>
          <w:rStyle w:val="Strong"/>
          <w:b w:val="0"/>
        </w:rPr>
        <w:t>hepB</w:t>
      </w:r>
      <w:proofErr w:type="spellEnd"/>
      <w:r w:rsidRPr="00822182">
        <w:rPr>
          <w:rStyle w:val="Strong"/>
          <w:b w:val="0"/>
        </w:rPr>
        <w:t xml:space="preserve"> vaccine series</w:t>
      </w:r>
      <w:r w:rsidRPr="00FD3D3D">
        <w:rPr>
          <w:rStyle w:val="Strong"/>
          <w:b w:val="0"/>
        </w:rPr>
        <w:t xml:space="preserve"> should be administered</w:t>
      </w:r>
      <w:r w:rsidRPr="00822182">
        <w:rPr>
          <w:rStyle w:val="Strong"/>
          <w:b w:val="0"/>
        </w:rPr>
        <w:t xml:space="preserve"> by giving two additional doses </w:t>
      </w:r>
      <w:r w:rsidRPr="00FD3D3D">
        <w:rPr>
          <w:rStyle w:val="Strong"/>
          <w:b w:val="0"/>
        </w:rPr>
        <w:t xml:space="preserve">of vaccine </w:t>
      </w:r>
      <w:r w:rsidRPr="00822182">
        <w:rPr>
          <w:rStyle w:val="Strong"/>
          <w:b w:val="0"/>
        </w:rPr>
        <w:t>and repeat</w:t>
      </w:r>
      <w:r w:rsidRPr="00FD3D3D">
        <w:rPr>
          <w:rStyle w:val="Strong"/>
          <w:b w:val="0"/>
        </w:rPr>
        <w:t>ing</w:t>
      </w:r>
      <w:r w:rsidRPr="00822182">
        <w:rPr>
          <w:rStyle w:val="Strong"/>
          <w:b w:val="0"/>
        </w:rPr>
        <w:t xml:space="preserve"> anti-HBs testing </w:t>
      </w:r>
      <w:r w:rsidRPr="00FD3D3D">
        <w:rPr>
          <w:rStyle w:val="Strong"/>
          <w:b w:val="0"/>
        </w:rPr>
        <w:t>one to two</w:t>
      </w:r>
      <w:r w:rsidRPr="00822182">
        <w:rPr>
          <w:rStyle w:val="Strong"/>
          <w:b w:val="0"/>
        </w:rPr>
        <w:t xml:space="preserve"> months after the second series.  </w:t>
      </w:r>
    </w:p>
    <w:p w:rsidR="00FD3D3D" w:rsidRPr="00FD3D3D" w:rsidRDefault="00FD3D3D" w:rsidP="00FD3D3D">
      <w:pPr>
        <w:tabs>
          <w:tab w:val="left" w:pos="360"/>
          <w:tab w:val="left" w:pos="810"/>
        </w:tabs>
        <w:ind w:left="792" w:hanging="432"/>
      </w:pPr>
    </w:p>
    <w:p w:rsidR="0030157F" w:rsidRPr="00FD3D3D" w:rsidRDefault="0030157F" w:rsidP="0030157F">
      <w:pPr>
        <w:pStyle w:val="ListParagraph"/>
        <w:tabs>
          <w:tab w:val="left" w:pos="360"/>
          <w:tab w:val="left" w:pos="810"/>
        </w:tabs>
        <w:ind w:left="0"/>
        <w:contextualSpacing/>
      </w:pPr>
    </w:p>
    <w:p w:rsidR="00A2647E" w:rsidRPr="00EC28B0" w:rsidRDefault="00EC28B0" w:rsidP="0030157F">
      <w:pPr>
        <w:numPr>
          <w:ilvl w:val="0"/>
          <w:numId w:val="1"/>
        </w:numPr>
        <w:tabs>
          <w:tab w:val="clear" w:pos="720"/>
          <w:tab w:val="left" w:pos="360"/>
          <w:tab w:val="left" w:pos="810"/>
        </w:tabs>
        <w:ind w:left="360"/>
      </w:pPr>
      <w:r w:rsidRPr="0030157F">
        <w:rPr>
          <w:b/>
          <w:bCs/>
        </w:rPr>
        <w:lastRenderedPageBreak/>
        <w:t>Tuberculosis:</w:t>
      </w:r>
      <w:r w:rsidRPr="00EC28B0">
        <w:t xml:space="preserve"> For those whose Tuberculin Skin Test (TST) is found to be positive, a chest X-ray within </w:t>
      </w:r>
      <w:r w:rsidR="003B4041">
        <w:t>three</w:t>
      </w:r>
      <w:r w:rsidR="003B4041" w:rsidRPr="00EC28B0">
        <w:t xml:space="preserve"> </w:t>
      </w:r>
      <w:r w:rsidRPr="00EC28B0">
        <w:t xml:space="preserve">months and referral to a physician for assessment and clearance will be required before final staff privileges can be granted. For those individuals with previous history of positive TST, the report of a chest X-ray taken after the finding of positive TST </w:t>
      </w:r>
      <w:r>
        <w:t>that</w:t>
      </w:r>
      <w:r w:rsidRPr="00EC28B0">
        <w:t xml:space="preserve"> indicates no evidence of active tuberculosis must be provided. Thereafter, no further evaluation is required in the absen</w:t>
      </w:r>
      <w:r>
        <w:t>ce of symptoms of tuberculosis.</w:t>
      </w:r>
    </w:p>
    <w:p w:rsidR="00A2647E" w:rsidRDefault="00A2647E" w:rsidP="00A2647E">
      <w:pPr>
        <w:tabs>
          <w:tab w:val="left" w:pos="360"/>
          <w:tab w:val="left" w:pos="810"/>
        </w:tabs>
        <w:ind w:left="360"/>
      </w:pPr>
    </w:p>
    <w:p w:rsidR="00500C54" w:rsidRDefault="00500C54" w:rsidP="00A2647E">
      <w:pPr>
        <w:numPr>
          <w:ilvl w:val="0"/>
          <w:numId w:val="1"/>
        </w:numPr>
        <w:tabs>
          <w:tab w:val="clear" w:pos="720"/>
          <w:tab w:val="left" w:pos="360"/>
          <w:tab w:val="left" w:pos="810"/>
        </w:tabs>
        <w:ind w:left="360"/>
      </w:pPr>
      <w:r>
        <w:rPr>
          <w:rStyle w:val="Strong"/>
        </w:rPr>
        <w:t>Varicella:</w:t>
      </w:r>
      <w:r w:rsidR="004A48FA">
        <w:t xml:space="preserve"> All </w:t>
      </w:r>
      <w:r w:rsidR="007E42B4">
        <w:t xml:space="preserve">HCP </w:t>
      </w:r>
      <w:r w:rsidR="004A48FA">
        <w:t xml:space="preserve">must provide </w:t>
      </w:r>
      <w:r w:rsidR="00133CDF">
        <w:t xml:space="preserve">evidence of </w:t>
      </w:r>
      <w:r>
        <w:t>immunity against varicella zoster virus (VZV).</w:t>
      </w:r>
      <w:r w:rsidR="00133CDF">
        <w:t xml:space="preserve"> This includes any of the following: written documentation of two doses of varicella vaccine</w:t>
      </w:r>
      <w:r w:rsidR="00B71A39">
        <w:t xml:space="preserve"> given at least 28 days apart</w:t>
      </w:r>
      <w:r w:rsidR="00133CDF">
        <w:t>, laboratory evidence of immunity or laboratory confirmation of disease, diagnosis or verification of a history of varicella disease</w:t>
      </w:r>
      <w:r w:rsidR="00B71A39">
        <w:t xml:space="preserve"> or herpes zoster (shingles)</w:t>
      </w:r>
      <w:r w:rsidR="00133CDF">
        <w:t xml:space="preserve"> by a healthcare provider.</w:t>
      </w:r>
      <w:r w:rsidR="00A20D49">
        <w:t xml:space="preserve"> Routine testing for varicella immunity after two doses of vaccine is not recommended.</w:t>
      </w:r>
    </w:p>
    <w:p w:rsidR="0028330B" w:rsidRDefault="0028330B" w:rsidP="0028330B">
      <w:pPr>
        <w:pStyle w:val="Default"/>
      </w:pPr>
    </w:p>
    <w:p w:rsidR="00500C54" w:rsidRDefault="00500C54" w:rsidP="00B71A39">
      <w:pPr>
        <w:tabs>
          <w:tab w:val="left" w:pos="360"/>
          <w:tab w:val="left" w:pos="810"/>
        </w:tabs>
      </w:pPr>
      <w:r>
        <w:t xml:space="preserve">The names of those individuals unable to be vaccinated </w:t>
      </w:r>
      <w:r w:rsidR="002D365A">
        <w:t>should</w:t>
      </w:r>
      <w:r>
        <w:t xml:space="preserve"> be kept on file in case of an exposure. Those </w:t>
      </w:r>
      <w:r w:rsidR="007E42B4">
        <w:t>HCP</w:t>
      </w:r>
      <w:r>
        <w:t xml:space="preserve"> who do not begin the vaccination schedule or</w:t>
      </w:r>
      <w:r w:rsidR="00C30F34">
        <w:t xml:space="preserve"> who do not</w:t>
      </w:r>
      <w:r>
        <w:t xml:space="preserve"> receive a medical ex</w:t>
      </w:r>
      <w:r w:rsidR="002D365A">
        <w:t>em</w:t>
      </w:r>
      <w:r>
        <w:t xml:space="preserve">ption within </w:t>
      </w:r>
      <w:r w:rsidR="007E42B4">
        <w:t>&lt;&lt;INSERT TIME FRAME&gt;&gt;</w:t>
      </w:r>
      <w:r>
        <w:t xml:space="preserve"> of appointment will have their privileges suspended until they meet this requirement.</w:t>
      </w:r>
    </w:p>
    <w:p w:rsidR="003B4041" w:rsidRDefault="003B4041">
      <w:pPr>
        <w:rPr>
          <w:rStyle w:val="Strong"/>
        </w:rPr>
      </w:pPr>
    </w:p>
    <w:p w:rsidR="00953E43" w:rsidRDefault="00953E43"/>
    <w:sectPr w:rsidR="00953E43">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0DB" w:rsidRDefault="005050DB" w:rsidP="00AA3806">
      <w:r>
        <w:separator/>
      </w:r>
    </w:p>
  </w:endnote>
  <w:endnote w:type="continuationSeparator" w:id="0">
    <w:p w:rsidR="005050DB" w:rsidRDefault="005050DB" w:rsidP="00AA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ala Sans Offc">
    <w:altName w:val="Scala Sans Offc"/>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0DB" w:rsidRDefault="005050DB" w:rsidP="00AA3806">
      <w:r>
        <w:separator/>
      </w:r>
    </w:p>
  </w:footnote>
  <w:footnote w:type="continuationSeparator" w:id="0">
    <w:p w:rsidR="005050DB" w:rsidRDefault="005050DB" w:rsidP="00AA3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06" w:rsidRDefault="00AA380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907"/>
    <w:multiLevelType w:val="hybridMultilevel"/>
    <w:tmpl w:val="3500C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80D71"/>
    <w:multiLevelType w:val="hybridMultilevel"/>
    <w:tmpl w:val="CE58A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2E1041"/>
    <w:multiLevelType w:val="hybridMultilevel"/>
    <w:tmpl w:val="607830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E26695"/>
    <w:multiLevelType w:val="hybridMultilevel"/>
    <w:tmpl w:val="6D48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2714A"/>
    <w:multiLevelType w:val="multilevel"/>
    <w:tmpl w:val="044895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937CF2"/>
    <w:multiLevelType w:val="hybridMultilevel"/>
    <w:tmpl w:val="46C6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85BB1"/>
    <w:multiLevelType w:val="hybridMultilevel"/>
    <w:tmpl w:val="ADD6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54C11"/>
    <w:multiLevelType w:val="multilevel"/>
    <w:tmpl w:val="ED1CE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FB3E5B"/>
    <w:multiLevelType w:val="hybridMultilevel"/>
    <w:tmpl w:val="E882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8C75FE"/>
    <w:multiLevelType w:val="multilevel"/>
    <w:tmpl w:val="B220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9"/>
  </w:num>
  <w:num w:numId="4">
    <w:abstractNumId w:val="3"/>
  </w:num>
  <w:num w:numId="5">
    <w:abstractNumId w:val="0"/>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lvlOverride w:ilvl="4"/>
    <w:lvlOverride w:ilvl="5"/>
    <w:lvlOverride w:ilvl="6"/>
    <w:lvlOverride w:ilvl="7"/>
    <w:lvlOverride w:ilvl="8"/>
  </w:num>
  <w:num w:numId="9">
    <w:abstractNumId w:val="1"/>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C54"/>
    <w:rsid w:val="00041AAE"/>
    <w:rsid w:val="000474B6"/>
    <w:rsid w:val="00054475"/>
    <w:rsid w:val="00060498"/>
    <w:rsid w:val="00087031"/>
    <w:rsid w:val="000A3B68"/>
    <w:rsid w:val="000D29D6"/>
    <w:rsid w:val="000D423F"/>
    <w:rsid w:val="0011197D"/>
    <w:rsid w:val="00133CDF"/>
    <w:rsid w:val="00141A5C"/>
    <w:rsid w:val="00165A38"/>
    <w:rsid w:val="001751E2"/>
    <w:rsid w:val="0017579C"/>
    <w:rsid w:val="00195850"/>
    <w:rsid w:val="001A1676"/>
    <w:rsid w:val="001C4605"/>
    <w:rsid w:val="001C6665"/>
    <w:rsid w:val="001E4080"/>
    <w:rsid w:val="00211728"/>
    <w:rsid w:val="00236FD0"/>
    <w:rsid w:val="00243176"/>
    <w:rsid w:val="00272DA8"/>
    <w:rsid w:val="00275698"/>
    <w:rsid w:val="002806E6"/>
    <w:rsid w:val="0028330B"/>
    <w:rsid w:val="00283F71"/>
    <w:rsid w:val="002A268D"/>
    <w:rsid w:val="002C2977"/>
    <w:rsid w:val="002D1B34"/>
    <w:rsid w:val="002D365A"/>
    <w:rsid w:val="002D561A"/>
    <w:rsid w:val="002F6CCF"/>
    <w:rsid w:val="0030157F"/>
    <w:rsid w:val="00311B14"/>
    <w:rsid w:val="003216FD"/>
    <w:rsid w:val="00346B2F"/>
    <w:rsid w:val="00370F6A"/>
    <w:rsid w:val="00392E08"/>
    <w:rsid w:val="003B4041"/>
    <w:rsid w:val="003C0892"/>
    <w:rsid w:val="003E7C62"/>
    <w:rsid w:val="00424BCE"/>
    <w:rsid w:val="00433894"/>
    <w:rsid w:val="004339B0"/>
    <w:rsid w:val="004519E3"/>
    <w:rsid w:val="00456D10"/>
    <w:rsid w:val="0048141F"/>
    <w:rsid w:val="00491334"/>
    <w:rsid w:val="004A48FA"/>
    <w:rsid w:val="00500C54"/>
    <w:rsid w:val="005050DB"/>
    <w:rsid w:val="00513876"/>
    <w:rsid w:val="00522C8F"/>
    <w:rsid w:val="005522C7"/>
    <w:rsid w:val="00555CAD"/>
    <w:rsid w:val="00577CFB"/>
    <w:rsid w:val="00586221"/>
    <w:rsid w:val="0059364D"/>
    <w:rsid w:val="00594E53"/>
    <w:rsid w:val="005968A8"/>
    <w:rsid w:val="005D703C"/>
    <w:rsid w:val="005E7799"/>
    <w:rsid w:val="0063404A"/>
    <w:rsid w:val="006654A6"/>
    <w:rsid w:val="006A55DE"/>
    <w:rsid w:val="006F4D25"/>
    <w:rsid w:val="0071708C"/>
    <w:rsid w:val="0073477C"/>
    <w:rsid w:val="00767325"/>
    <w:rsid w:val="00772E41"/>
    <w:rsid w:val="00785C54"/>
    <w:rsid w:val="007C0840"/>
    <w:rsid w:val="007D69EF"/>
    <w:rsid w:val="007E42B4"/>
    <w:rsid w:val="007F0AE0"/>
    <w:rsid w:val="007F4863"/>
    <w:rsid w:val="00822182"/>
    <w:rsid w:val="00836DA2"/>
    <w:rsid w:val="008756B2"/>
    <w:rsid w:val="00875952"/>
    <w:rsid w:val="0087688C"/>
    <w:rsid w:val="008D162C"/>
    <w:rsid w:val="008E7038"/>
    <w:rsid w:val="008F0C70"/>
    <w:rsid w:val="0092147E"/>
    <w:rsid w:val="00953E43"/>
    <w:rsid w:val="00976706"/>
    <w:rsid w:val="009832A8"/>
    <w:rsid w:val="00983A04"/>
    <w:rsid w:val="009A7C8C"/>
    <w:rsid w:val="00A20D49"/>
    <w:rsid w:val="00A2647E"/>
    <w:rsid w:val="00A4163E"/>
    <w:rsid w:val="00A55D64"/>
    <w:rsid w:val="00A76C14"/>
    <w:rsid w:val="00AA3806"/>
    <w:rsid w:val="00AC4AA6"/>
    <w:rsid w:val="00B31FA2"/>
    <w:rsid w:val="00B323A0"/>
    <w:rsid w:val="00B71A39"/>
    <w:rsid w:val="00B971BD"/>
    <w:rsid w:val="00BA5B7E"/>
    <w:rsid w:val="00BD113A"/>
    <w:rsid w:val="00BD3D78"/>
    <w:rsid w:val="00BE18CD"/>
    <w:rsid w:val="00BF1381"/>
    <w:rsid w:val="00C03BDF"/>
    <w:rsid w:val="00C16F60"/>
    <w:rsid w:val="00C25195"/>
    <w:rsid w:val="00C30F34"/>
    <w:rsid w:val="00C61AD9"/>
    <w:rsid w:val="00C71136"/>
    <w:rsid w:val="00C91A0B"/>
    <w:rsid w:val="00C93011"/>
    <w:rsid w:val="00CB3BB2"/>
    <w:rsid w:val="00CC4223"/>
    <w:rsid w:val="00CF0C1B"/>
    <w:rsid w:val="00D41A19"/>
    <w:rsid w:val="00D50D13"/>
    <w:rsid w:val="00D533B7"/>
    <w:rsid w:val="00D76781"/>
    <w:rsid w:val="00DA0B0A"/>
    <w:rsid w:val="00DA766B"/>
    <w:rsid w:val="00DB704A"/>
    <w:rsid w:val="00E57441"/>
    <w:rsid w:val="00EB7818"/>
    <w:rsid w:val="00EC28B0"/>
    <w:rsid w:val="00F142F4"/>
    <w:rsid w:val="00F438CA"/>
    <w:rsid w:val="00F54072"/>
    <w:rsid w:val="00F70416"/>
    <w:rsid w:val="00F80EAF"/>
    <w:rsid w:val="00F852B9"/>
    <w:rsid w:val="00F855E5"/>
    <w:rsid w:val="00F87AFB"/>
    <w:rsid w:val="00F961CA"/>
    <w:rsid w:val="00FB5DC7"/>
    <w:rsid w:val="00FC033F"/>
    <w:rsid w:val="00FC1DA5"/>
    <w:rsid w:val="00FD3D3D"/>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6BEEFCA-B875-4C23-BFC9-07BAC67A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500C54"/>
    <w:pPr>
      <w:spacing w:before="100" w:beforeAutospacing="1" w:after="100" w:afterAutospacing="1"/>
      <w:outlineLvl w:val="1"/>
    </w:pPr>
    <w:rPr>
      <w:b/>
      <w:bCs/>
      <w:sz w:val="36"/>
      <w:szCs w:val="36"/>
    </w:rPr>
  </w:style>
  <w:style w:type="paragraph" w:styleId="Heading3">
    <w:name w:val="heading 3"/>
    <w:basedOn w:val="Normal"/>
    <w:qFormat/>
    <w:rsid w:val="00500C54"/>
    <w:pPr>
      <w:spacing w:before="100" w:beforeAutospacing="1" w:after="100" w:afterAutospacing="1"/>
      <w:outlineLvl w:val="2"/>
    </w:pPr>
    <w:rPr>
      <w:b/>
      <w:bCs/>
      <w:sz w:val="27"/>
      <w:szCs w:val="27"/>
    </w:rPr>
  </w:style>
  <w:style w:type="paragraph" w:styleId="Heading4">
    <w:name w:val="heading 4"/>
    <w:basedOn w:val="Normal"/>
    <w:qFormat/>
    <w:rsid w:val="00500C54"/>
    <w:pPr>
      <w:spacing w:before="100" w:beforeAutospacing="1" w:after="100" w:afterAutospacing="1"/>
      <w:outlineLvl w:val="3"/>
    </w:pPr>
    <w:rPr>
      <w:b/>
      <w:bCs/>
    </w:rPr>
  </w:style>
  <w:style w:type="paragraph" w:styleId="Heading5">
    <w:name w:val="heading 5"/>
    <w:basedOn w:val="Normal"/>
    <w:qFormat/>
    <w:rsid w:val="00500C54"/>
    <w:pPr>
      <w:spacing w:before="100" w:beforeAutospacing="1" w:after="100" w:afterAutospacing="1"/>
      <w:outlineLvl w:val="4"/>
    </w:pPr>
    <w:rPr>
      <w:b/>
      <w:bCs/>
      <w:sz w:val="20"/>
      <w:szCs w:val="20"/>
    </w:rPr>
  </w:style>
  <w:style w:type="paragraph" w:styleId="Heading6">
    <w:name w:val="heading 6"/>
    <w:basedOn w:val="Normal"/>
    <w:qFormat/>
    <w:rsid w:val="00500C54"/>
    <w:pPr>
      <w:spacing w:before="100" w:beforeAutospacing="1" w:after="100" w:afterAutospacing="1"/>
      <w:outlineLvl w:val="5"/>
    </w:pPr>
    <w:rPr>
      <w:b/>
      <w:bCs/>
      <w:sz w:val="15"/>
      <w:szCs w:val="1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00C54"/>
    <w:pPr>
      <w:spacing w:before="100" w:beforeAutospacing="1" w:after="100" w:afterAutospacing="1"/>
    </w:pPr>
  </w:style>
  <w:style w:type="character" w:styleId="Strong">
    <w:name w:val="Strong"/>
    <w:uiPriority w:val="22"/>
    <w:qFormat/>
    <w:rsid w:val="00500C54"/>
    <w:rPr>
      <w:b/>
      <w:bCs/>
    </w:rPr>
  </w:style>
  <w:style w:type="character" w:styleId="Hyperlink">
    <w:name w:val="Hyperlink"/>
    <w:uiPriority w:val="99"/>
    <w:rsid w:val="00500C54"/>
    <w:rPr>
      <w:color w:val="0000FF"/>
      <w:u w:val="single"/>
    </w:rPr>
  </w:style>
  <w:style w:type="character" w:styleId="FollowedHyperlink">
    <w:name w:val="FollowedHyperlink"/>
    <w:uiPriority w:val="99"/>
    <w:semiHidden/>
    <w:unhideWhenUsed/>
    <w:rsid w:val="007F4863"/>
    <w:rPr>
      <w:color w:val="800080"/>
      <w:u w:val="single"/>
    </w:rPr>
  </w:style>
  <w:style w:type="character" w:styleId="CommentReference">
    <w:name w:val="annotation reference"/>
    <w:uiPriority w:val="99"/>
    <w:semiHidden/>
    <w:unhideWhenUsed/>
    <w:rsid w:val="00F855E5"/>
    <w:rPr>
      <w:sz w:val="16"/>
      <w:szCs w:val="16"/>
    </w:rPr>
  </w:style>
  <w:style w:type="paragraph" w:styleId="CommentText">
    <w:name w:val="annotation text"/>
    <w:basedOn w:val="Normal"/>
    <w:link w:val="CommentTextChar"/>
    <w:uiPriority w:val="99"/>
    <w:unhideWhenUsed/>
    <w:rsid w:val="00F855E5"/>
    <w:rPr>
      <w:sz w:val="20"/>
      <w:szCs w:val="20"/>
    </w:rPr>
  </w:style>
  <w:style w:type="character" w:customStyle="1" w:styleId="CommentTextChar">
    <w:name w:val="Comment Text Char"/>
    <w:basedOn w:val="DefaultParagraphFont"/>
    <w:link w:val="CommentText"/>
    <w:uiPriority w:val="99"/>
    <w:rsid w:val="00F855E5"/>
  </w:style>
  <w:style w:type="paragraph" w:styleId="CommentSubject">
    <w:name w:val="annotation subject"/>
    <w:basedOn w:val="CommentText"/>
    <w:next w:val="CommentText"/>
    <w:link w:val="CommentSubjectChar"/>
    <w:uiPriority w:val="99"/>
    <w:semiHidden/>
    <w:unhideWhenUsed/>
    <w:rsid w:val="00F855E5"/>
    <w:rPr>
      <w:b/>
      <w:bCs/>
      <w:lang w:val="x-none" w:eastAsia="x-none"/>
    </w:rPr>
  </w:style>
  <w:style w:type="character" w:customStyle="1" w:styleId="CommentSubjectChar">
    <w:name w:val="Comment Subject Char"/>
    <w:link w:val="CommentSubject"/>
    <w:uiPriority w:val="99"/>
    <w:semiHidden/>
    <w:rsid w:val="00F855E5"/>
    <w:rPr>
      <w:b/>
      <w:bCs/>
    </w:rPr>
  </w:style>
  <w:style w:type="paragraph" w:styleId="BalloonText">
    <w:name w:val="Balloon Text"/>
    <w:basedOn w:val="Normal"/>
    <w:link w:val="BalloonTextChar"/>
    <w:uiPriority w:val="99"/>
    <w:semiHidden/>
    <w:unhideWhenUsed/>
    <w:rsid w:val="00F855E5"/>
    <w:rPr>
      <w:rFonts w:ascii="Tahoma" w:hAnsi="Tahoma"/>
      <w:sz w:val="16"/>
      <w:szCs w:val="16"/>
      <w:lang w:val="x-none" w:eastAsia="x-none"/>
    </w:rPr>
  </w:style>
  <w:style w:type="character" w:customStyle="1" w:styleId="BalloonTextChar">
    <w:name w:val="Balloon Text Char"/>
    <w:link w:val="BalloonText"/>
    <w:uiPriority w:val="99"/>
    <w:semiHidden/>
    <w:rsid w:val="00F855E5"/>
    <w:rPr>
      <w:rFonts w:ascii="Tahoma" w:hAnsi="Tahoma" w:cs="Tahoma"/>
      <w:sz w:val="16"/>
      <w:szCs w:val="16"/>
    </w:rPr>
  </w:style>
  <w:style w:type="paragraph" w:styleId="ListParagraph">
    <w:name w:val="List Paragraph"/>
    <w:basedOn w:val="Normal"/>
    <w:uiPriority w:val="34"/>
    <w:qFormat/>
    <w:rsid w:val="00A2647E"/>
    <w:pPr>
      <w:ind w:left="720"/>
    </w:pPr>
  </w:style>
  <w:style w:type="paragraph" w:styleId="Header">
    <w:name w:val="header"/>
    <w:basedOn w:val="Normal"/>
    <w:link w:val="HeaderChar"/>
    <w:uiPriority w:val="99"/>
    <w:unhideWhenUsed/>
    <w:rsid w:val="00AA3806"/>
    <w:pPr>
      <w:tabs>
        <w:tab w:val="center" w:pos="4680"/>
        <w:tab w:val="right" w:pos="9360"/>
      </w:tabs>
    </w:pPr>
    <w:rPr>
      <w:lang w:val="x-none" w:eastAsia="x-none"/>
    </w:rPr>
  </w:style>
  <w:style w:type="character" w:customStyle="1" w:styleId="HeaderChar">
    <w:name w:val="Header Char"/>
    <w:link w:val="Header"/>
    <w:uiPriority w:val="99"/>
    <w:rsid w:val="00AA3806"/>
    <w:rPr>
      <w:sz w:val="24"/>
      <w:szCs w:val="24"/>
    </w:rPr>
  </w:style>
  <w:style w:type="paragraph" w:styleId="Footer">
    <w:name w:val="footer"/>
    <w:basedOn w:val="Normal"/>
    <w:link w:val="FooterChar"/>
    <w:uiPriority w:val="99"/>
    <w:unhideWhenUsed/>
    <w:rsid w:val="00AA3806"/>
    <w:pPr>
      <w:tabs>
        <w:tab w:val="center" w:pos="4680"/>
        <w:tab w:val="right" w:pos="9360"/>
      </w:tabs>
    </w:pPr>
    <w:rPr>
      <w:lang w:val="x-none" w:eastAsia="x-none"/>
    </w:rPr>
  </w:style>
  <w:style w:type="character" w:customStyle="1" w:styleId="FooterChar">
    <w:name w:val="Footer Char"/>
    <w:link w:val="Footer"/>
    <w:uiPriority w:val="99"/>
    <w:rsid w:val="00AA3806"/>
    <w:rPr>
      <w:sz w:val="24"/>
      <w:szCs w:val="24"/>
    </w:rPr>
  </w:style>
  <w:style w:type="paragraph" w:customStyle="1" w:styleId="Default">
    <w:name w:val="Default"/>
    <w:rsid w:val="0028330B"/>
    <w:pPr>
      <w:autoSpaceDE w:val="0"/>
      <w:autoSpaceDN w:val="0"/>
      <w:adjustRightInd w:val="0"/>
    </w:pPr>
    <w:rPr>
      <w:rFonts w:ascii="Scala Sans Offc" w:hAnsi="Scala Sans Offc" w:cs="Scala Sans Offc"/>
      <w:color w:val="000000"/>
      <w:sz w:val="24"/>
      <w:szCs w:val="24"/>
    </w:rPr>
  </w:style>
  <w:style w:type="character" w:customStyle="1" w:styleId="A0">
    <w:name w:val="A0"/>
    <w:uiPriority w:val="99"/>
    <w:rsid w:val="00513876"/>
    <w:rPr>
      <w:rFonts w:cs="Scala Sans Offc"/>
      <w:b/>
      <w:bCs/>
      <w:color w:val="000000"/>
      <w:sz w:val="21"/>
      <w:szCs w:val="21"/>
    </w:rPr>
  </w:style>
  <w:style w:type="character" w:customStyle="1" w:styleId="A7">
    <w:name w:val="A7"/>
    <w:uiPriority w:val="99"/>
    <w:rsid w:val="00513876"/>
    <w:rPr>
      <w:rFonts w:cs="Scala Sans Offc"/>
      <w:color w:val="000000"/>
      <w:sz w:val="20"/>
      <w:szCs w:val="20"/>
    </w:rPr>
  </w:style>
  <w:style w:type="paragraph" w:customStyle="1" w:styleId="Pa1">
    <w:name w:val="Pa1"/>
    <w:basedOn w:val="Default"/>
    <w:next w:val="Default"/>
    <w:uiPriority w:val="99"/>
    <w:rsid w:val="00D50D13"/>
    <w:pPr>
      <w:spacing w:line="181" w:lineRule="atLeast"/>
    </w:pPr>
    <w:rPr>
      <w:rFonts w:cs="Times New Roman"/>
      <w:color w:val="auto"/>
    </w:rPr>
  </w:style>
  <w:style w:type="paragraph" w:customStyle="1" w:styleId="Pa24">
    <w:name w:val="Pa24"/>
    <w:basedOn w:val="Default"/>
    <w:next w:val="Default"/>
    <w:uiPriority w:val="99"/>
    <w:rsid w:val="00D41A19"/>
    <w:pPr>
      <w:spacing w:line="241" w:lineRule="atLeast"/>
    </w:pPr>
    <w:rPr>
      <w:rFonts w:ascii="Myriad Pro Light" w:hAnsi="Myriad Pro Light" w:cs="Times New Roman"/>
      <w:color w:val="auto"/>
    </w:rPr>
  </w:style>
  <w:style w:type="paragraph" w:customStyle="1" w:styleId="Pa0">
    <w:name w:val="Pa0"/>
    <w:basedOn w:val="Default"/>
    <w:next w:val="Default"/>
    <w:uiPriority w:val="99"/>
    <w:rsid w:val="00433894"/>
    <w:pPr>
      <w:spacing w:line="181" w:lineRule="atLeast"/>
    </w:pPr>
    <w:rPr>
      <w:rFonts w:cs="Times New Roman"/>
      <w:color w:val="auto"/>
    </w:rPr>
  </w:style>
  <w:style w:type="paragraph" w:customStyle="1" w:styleId="Pa10">
    <w:name w:val="Pa10"/>
    <w:basedOn w:val="Default"/>
    <w:next w:val="Default"/>
    <w:uiPriority w:val="99"/>
    <w:rsid w:val="007F0AE0"/>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0357">
      <w:bodyDiv w:val="1"/>
      <w:marLeft w:val="0"/>
      <w:marRight w:val="0"/>
      <w:marTop w:val="0"/>
      <w:marBottom w:val="0"/>
      <w:divBdr>
        <w:top w:val="none" w:sz="0" w:space="0" w:color="auto"/>
        <w:left w:val="none" w:sz="0" w:space="0" w:color="auto"/>
        <w:bottom w:val="none" w:sz="0" w:space="0" w:color="auto"/>
        <w:right w:val="none" w:sz="0" w:space="0" w:color="auto"/>
      </w:divBdr>
    </w:div>
    <w:div w:id="533663193">
      <w:bodyDiv w:val="1"/>
      <w:marLeft w:val="0"/>
      <w:marRight w:val="0"/>
      <w:marTop w:val="0"/>
      <w:marBottom w:val="0"/>
      <w:divBdr>
        <w:top w:val="none" w:sz="0" w:space="0" w:color="auto"/>
        <w:left w:val="none" w:sz="0" w:space="0" w:color="auto"/>
        <w:bottom w:val="none" w:sz="0" w:space="0" w:color="auto"/>
        <w:right w:val="none" w:sz="0" w:space="0" w:color="auto"/>
      </w:divBdr>
    </w:div>
    <w:div w:id="1169714969">
      <w:bodyDiv w:val="1"/>
      <w:marLeft w:val="0"/>
      <w:marRight w:val="0"/>
      <w:marTop w:val="0"/>
      <w:marBottom w:val="0"/>
      <w:divBdr>
        <w:top w:val="none" w:sz="0" w:space="0" w:color="auto"/>
        <w:left w:val="none" w:sz="0" w:space="0" w:color="auto"/>
        <w:bottom w:val="none" w:sz="0" w:space="0" w:color="auto"/>
        <w:right w:val="none" w:sz="0" w:space="0" w:color="auto"/>
      </w:divBdr>
    </w:div>
    <w:div w:id="1186165397">
      <w:bodyDiv w:val="1"/>
      <w:marLeft w:val="0"/>
      <w:marRight w:val="0"/>
      <w:marTop w:val="0"/>
      <w:marBottom w:val="0"/>
      <w:divBdr>
        <w:top w:val="none" w:sz="0" w:space="0" w:color="auto"/>
        <w:left w:val="none" w:sz="0" w:space="0" w:color="auto"/>
        <w:bottom w:val="none" w:sz="0" w:space="0" w:color="auto"/>
        <w:right w:val="none" w:sz="0" w:space="0" w:color="auto"/>
      </w:divBdr>
      <w:divsChild>
        <w:div w:id="1298954650">
          <w:marLeft w:val="0"/>
          <w:marRight w:val="0"/>
          <w:marTop w:val="0"/>
          <w:marBottom w:val="0"/>
          <w:divBdr>
            <w:top w:val="none" w:sz="0" w:space="0" w:color="auto"/>
            <w:left w:val="none" w:sz="0" w:space="0" w:color="auto"/>
            <w:bottom w:val="none" w:sz="0" w:space="0" w:color="auto"/>
            <w:right w:val="none" w:sz="0" w:space="0" w:color="auto"/>
          </w:divBdr>
          <w:divsChild>
            <w:div w:id="26180765">
              <w:marLeft w:val="0"/>
              <w:marRight w:val="0"/>
              <w:marTop w:val="0"/>
              <w:marBottom w:val="0"/>
              <w:divBdr>
                <w:top w:val="none" w:sz="0" w:space="0" w:color="auto"/>
                <w:left w:val="none" w:sz="0" w:space="0" w:color="auto"/>
                <w:bottom w:val="none" w:sz="0" w:space="0" w:color="auto"/>
                <w:right w:val="none" w:sz="0" w:space="0" w:color="auto"/>
              </w:divBdr>
              <w:divsChild>
                <w:div w:id="1162116085">
                  <w:marLeft w:val="0"/>
                  <w:marRight w:val="0"/>
                  <w:marTop w:val="0"/>
                  <w:marBottom w:val="0"/>
                  <w:divBdr>
                    <w:top w:val="none" w:sz="0" w:space="0" w:color="auto"/>
                    <w:left w:val="none" w:sz="0" w:space="0" w:color="auto"/>
                    <w:bottom w:val="none" w:sz="0" w:space="0" w:color="auto"/>
                    <w:right w:val="none" w:sz="0" w:space="0" w:color="auto"/>
                  </w:divBdr>
                  <w:divsChild>
                    <w:div w:id="13666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dc.gov/vaccines/adults/rec-vac/hcw.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higan.gov/documents/CIS_WSH_part554_35632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8C1BF-9F09-436F-99F3-4B67DFF0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1043</Words>
  <Characters>5948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Sample Hospital Immunization Policy</vt:lpstr>
    </vt:vector>
  </TitlesOfParts>
  <Company>Clark County</Company>
  <LinksUpToDate>false</LinksUpToDate>
  <CharactersWithSpaces>6978</CharactersWithSpaces>
  <SharedDoc>false</SharedDoc>
  <HLinks>
    <vt:vector size="12" baseType="variant">
      <vt:variant>
        <vt:i4>1114178</vt:i4>
      </vt:variant>
      <vt:variant>
        <vt:i4>3</vt:i4>
      </vt:variant>
      <vt:variant>
        <vt:i4>0</vt:i4>
      </vt:variant>
      <vt:variant>
        <vt:i4>5</vt:i4>
      </vt:variant>
      <vt:variant>
        <vt:lpwstr>http://www.michigan.gov/documents/CIS_WSH_part554_35632_7.pdf</vt:lpwstr>
      </vt:variant>
      <vt:variant>
        <vt:lpwstr/>
      </vt:variant>
      <vt:variant>
        <vt:i4>6881333</vt:i4>
      </vt:variant>
      <vt:variant>
        <vt:i4>0</vt:i4>
      </vt:variant>
      <vt:variant>
        <vt:i4>0</vt:i4>
      </vt:variant>
      <vt:variant>
        <vt:i4>5</vt:i4>
      </vt:variant>
      <vt:variant>
        <vt:lpwstr>http://www.cdc.gov/vaccines/adults/rec-vac/hcw.html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Hospital Immunization Policy</dc:title>
  <dc:subject/>
  <dc:creator>marticai</dc:creator>
  <cp:keywords/>
  <cp:lastModifiedBy>Linda Dicks</cp:lastModifiedBy>
  <cp:revision>2</cp:revision>
  <cp:lastPrinted>2015-11-11T17:02:00Z</cp:lastPrinted>
  <dcterms:created xsi:type="dcterms:W3CDTF">2016-11-22T20:30:00Z</dcterms:created>
  <dcterms:modified xsi:type="dcterms:W3CDTF">2016-11-22T20:30:00Z</dcterms:modified>
</cp:coreProperties>
</file>