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4C87" w14:textId="2395625F" w:rsidR="00CF6955" w:rsidRDefault="007B28BA" w:rsidP="007B28BA">
      <w:pPr>
        <w:rPr>
          <w:rFonts w:ascii="Arial" w:hAnsi="Arial" w:cs="Arial"/>
          <w:sz w:val="20"/>
          <w:szCs w:val="20"/>
        </w:rPr>
      </w:pPr>
      <w:r w:rsidRPr="007B28BA">
        <w:rPr>
          <w:rFonts w:ascii="Arial" w:hAnsi="Arial" w:cs="Arial"/>
          <w:sz w:val="20"/>
          <w:szCs w:val="20"/>
        </w:rPr>
        <w:t>Ju</w:t>
      </w:r>
      <w:r w:rsidR="00C23028">
        <w:rPr>
          <w:rFonts w:ascii="Arial" w:hAnsi="Arial" w:cs="Arial"/>
          <w:sz w:val="20"/>
          <w:szCs w:val="20"/>
        </w:rPr>
        <w:t xml:space="preserve">ne </w:t>
      </w:r>
      <w:r w:rsidR="00C8089F">
        <w:rPr>
          <w:rFonts w:ascii="Arial" w:hAnsi="Arial" w:cs="Arial"/>
          <w:sz w:val="20"/>
          <w:szCs w:val="20"/>
        </w:rPr>
        <w:t>2</w:t>
      </w:r>
      <w:r w:rsidR="00E16AC9">
        <w:rPr>
          <w:rFonts w:ascii="Arial" w:hAnsi="Arial" w:cs="Arial"/>
          <w:sz w:val="20"/>
          <w:szCs w:val="20"/>
        </w:rPr>
        <w:t>5</w:t>
      </w:r>
      <w:r w:rsidRPr="007B28BA">
        <w:rPr>
          <w:rFonts w:ascii="Arial" w:hAnsi="Arial" w:cs="Arial"/>
          <w:sz w:val="20"/>
          <w:szCs w:val="20"/>
        </w:rPr>
        <w:t>, 20</w:t>
      </w:r>
      <w:r w:rsidR="00C26ACD">
        <w:rPr>
          <w:rFonts w:ascii="Arial" w:hAnsi="Arial" w:cs="Arial"/>
          <w:sz w:val="20"/>
          <w:szCs w:val="20"/>
        </w:rPr>
        <w:t>2</w:t>
      </w:r>
      <w:r w:rsidR="00C23028">
        <w:rPr>
          <w:rFonts w:ascii="Arial" w:hAnsi="Arial" w:cs="Arial"/>
          <w:sz w:val="20"/>
          <w:szCs w:val="20"/>
        </w:rPr>
        <w:t>1</w:t>
      </w:r>
      <w:r w:rsidRPr="007B28BA">
        <w:rPr>
          <w:rFonts w:ascii="Arial" w:hAnsi="Arial" w:cs="Arial"/>
          <w:sz w:val="20"/>
          <w:szCs w:val="20"/>
        </w:rPr>
        <w:tab/>
      </w:r>
    </w:p>
    <w:p w14:paraId="26A27F0F" w14:textId="77777777" w:rsidR="00C23028" w:rsidRDefault="00C23028" w:rsidP="00C23028">
      <w:pPr>
        <w:autoSpaceDE w:val="0"/>
        <w:autoSpaceDN w:val="0"/>
        <w:adjustRightInd w:val="0"/>
        <w:rPr>
          <w:rFonts w:ascii="Arial" w:hAnsi="Arial" w:cs="Arial"/>
          <w:color w:val="000000"/>
          <w:sz w:val="20"/>
          <w:szCs w:val="20"/>
        </w:rPr>
      </w:pPr>
    </w:p>
    <w:p w14:paraId="0B0B5892" w14:textId="1E660A2E" w:rsidR="00C23028" w:rsidRPr="00F65318" w:rsidRDefault="00C23028" w:rsidP="00C23028">
      <w:pPr>
        <w:autoSpaceDE w:val="0"/>
        <w:autoSpaceDN w:val="0"/>
        <w:adjustRightInd w:val="0"/>
        <w:rPr>
          <w:rFonts w:ascii="Arial" w:hAnsi="Arial" w:cs="Arial"/>
          <w:b/>
          <w:bCs/>
          <w:color w:val="000000"/>
          <w:sz w:val="20"/>
          <w:szCs w:val="20"/>
        </w:rPr>
      </w:pPr>
      <w:r w:rsidRPr="008957DC">
        <w:rPr>
          <w:rFonts w:ascii="Arial" w:hAnsi="Arial" w:cs="Arial"/>
          <w:color w:val="000000"/>
          <w:sz w:val="20"/>
          <w:szCs w:val="20"/>
        </w:rPr>
        <w:t xml:space="preserve">Ms. </w:t>
      </w:r>
      <w:r>
        <w:rPr>
          <w:rFonts w:ascii="Arial" w:hAnsi="Arial" w:cs="Arial"/>
          <w:color w:val="000000"/>
          <w:sz w:val="20"/>
          <w:szCs w:val="20"/>
        </w:rPr>
        <w:t>Chiquita Brooks-</w:t>
      </w:r>
      <w:proofErr w:type="spellStart"/>
      <w:r>
        <w:rPr>
          <w:rFonts w:ascii="Arial" w:hAnsi="Arial" w:cs="Arial"/>
          <w:color w:val="000000"/>
          <w:sz w:val="20"/>
          <w:szCs w:val="20"/>
        </w:rPr>
        <w:t>LaSure</w:t>
      </w:r>
      <w:proofErr w:type="spellEnd"/>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Pr>
          <w:rFonts w:ascii="Arial" w:hAnsi="Arial" w:cs="Arial"/>
          <w:color w:val="000000"/>
          <w:sz w:val="20"/>
          <w:szCs w:val="20"/>
        </w:rPr>
        <w:tab/>
      </w:r>
      <w:r w:rsidR="00F65318" w:rsidRPr="00F65318">
        <w:rPr>
          <w:rFonts w:ascii="Arial" w:hAnsi="Arial" w:cs="Arial"/>
          <w:b/>
          <w:bCs/>
          <w:color w:val="000000"/>
          <w:sz w:val="32"/>
          <w:szCs w:val="32"/>
        </w:rPr>
        <w:t>D R A F T</w:t>
      </w:r>
      <w:r w:rsidR="00F65318" w:rsidRPr="00F65318">
        <w:rPr>
          <w:rFonts w:ascii="Arial" w:hAnsi="Arial" w:cs="Arial"/>
          <w:b/>
          <w:bCs/>
          <w:color w:val="000000"/>
          <w:sz w:val="20"/>
          <w:szCs w:val="20"/>
        </w:rPr>
        <w:t xml:space="preserve"> </w:t>
      </w:r>
    </w:p>
    <w:p w14:paraId="4D51A2FE" w14:textId="77777777" w:rsidR="00C23028" w:rsidRPr="008957DC" w:rsidRDefault="00C23028" w:rsidP="00C23028">
      <w:pPr>
        <w:autoSpaceDE w:val="0"/>
        <w:autoSpaceDN w:val="0"/>
        <w:adjustRightInd w:val="0"/>
        <w:rPr>
          <w:rFonts w:ascii="Arial" w:hAnsi="Arial" w:cs="Arial"/>
          <w:color w:val="000000"/>
          <w:sz w:val="20"/>
          <w:szCs w:val="20"/>
        </w:rPr>
      </w:pPr>
      <w:r w:rsidRPr="008957DC">
        <w:rPr>
          <w:rFonts w:ascii="Arial" w:hAnsi="Arial" w:cs="Arial"/>
          <w:color w:val="000000"/>
          <w:sz w:val="20"/>
          <w:szCs w:val="20"/>
        </w:rPr>
        <w:t>Administrator</w:t>
      </w:r>
    </w:p>
    <w:p w14:paraId="4FE6CED4" w14:textId="77777777" w:rsidR="00C23028" w:rsidRPr="008957DC" w:rsidRDefault="00C23028" w:rsidP="00C23028">
      <w:pPr>
        <w:autoSpaceDE w:val="0"/>
        <w:autoSpaceDN w:val="0"/>
        <w:adjustRightInd w:val="0"/>
        <w:rPr>
          <w:rFonts w:ascii="Arial" w:hAnsi="Arial" w:cs="Arial"/>
          <w:color w:val="000000"/>
          <w:sz w:val="20"/>
          <w:szCs w:val="20"/>
        </w:rPr>
      </w:pPr>
      <w:r w:rsidRPr="008957DC">
        <w:rPr>
          <w:rFonts w:ascii="Arial" w:hAnsi="Arial" w:cs="Arial"/>
          <w:color w:val="000000"/>
          <w:sz w:val="20"/>
          <w:szCs w:val="20"/>
        </w:rPr>
        <w:t xml:space="preserve">Centers for Medicare &amp; Medicaid Services                                    </w:t>
      </w:r>
    </w:p>
    <w:p w14:paraId="64996BB6" w14:textId="77777777" w:rsidR="00C23028" w:rsidRPr="008957DC" w:rsidRDefault="00C23028" w:rsidP="00C23028">
      <w:pPr>
        <w:autoSpaceDE w:val="0"/>
        <w:autoSpaceDN w:val="0"/>
        <w:adjustRightInd w:val="0"/>
        <w:rPr>
          <w:rFonts w:ascii="Arial" w:hAnsi="Arial" w:cs="Arial"/>
          <w:color w:val="000000"/>
          <w:sz w:val="20"/>
          <w:szCs w:val="20"/>
        </w:rPr>
      </w:pPr>
      <w:r>
        <w:rPr>
          <w:rFonts w:ascii="Arial" w:hAnsi="Arial" w:cs="Arial"/>
          <w:color w:val="000000"/>
          <w:sz w:val="20"/>
          <w:szCs w:val="20"/>
        </w:rPr>
        <w:t>7500 Security Boulevard</w:t>
      </w:r>
    </w:p>
    <w:p w14:paraId="6CC61701" w14:textId="77777777" w:rsidR="00C23028" w:rsidRDefault="00C23028" w:rsidP="00C23028">
      <w:pPr>
        <w:rPr>
          <w:rFonts w:ascii="Arial" w:hAnsi="Arial" w:cs="Arial"/>
          <w:sz w:val="20"/>
          <w:szCs w:val="20"/>
        </w:rPr>
      </w:pPr>
      <w:r>
        <w:rPr>
          <w:rFonts w:ascii="Arial" w:hAnsi="Arial" w:cs="Arial"/>
          <w:sz w:val="20"/>
          <w:szCs w:val="20"/>
        </w:rPr>
        <w:t>Baltimore, Maryland 21244-1850</w:t>
      </w:r>
    </w:p>
    <w:p w14:paraId="6F6F9FDC" w14:textId="3B6CB9C4" w:rsidR="007B28BA" w:rsidRPr="003E218E" w:rsidRDefault="007B28BA" w:rsidP="007B28BA">
      <w:pPr>
        <w:rPr>
          <w:rFonts w:ascii="Arial" w:hAnsi="Arial" w:cs="Arial"/>
          <w:b/>
          <w:sz w:val="28"/>
          <w:szCs w:val="28"/>
        </w:rPr>
      </w:pP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003E218E">
        <w:rPr>
          <w:rFonts w:ascii="Arial" w:hAnsi="Arial" w:cs="Arial"/>
          <w:sz w:val="20"/>
          <w:szCs w:val="20"/>
        </w:rPr>
        <w:tab/>
      </w:r>
      <w:r w:rsidRPr="003E218E">
        <w:rPr>
          <w:rFonts w:ascii="Arial" w:hAnsi="Arial" w:cs="Arial"/>
          <w:b/>
          <w:sz w:val="28"/>
          <w:szCs w:val="28"/>
        </w:rPr>
        <w:tab/>
      </w:r>
      <w:r w:rsidRPr="003E218E">
        <w:rPr>
          <w:rFonts w:ascii="Arial" w:hAnsi="Arial" w:cs="Arial"/>
          <w:b/>
          <w:sz w:val="28"/>
          <w:szCs w:val="28"/>
        </w:rPr>
        <w:tab/>
      </w:r>
    </w:p>
    <w:p w14:paraId="7097D5BD" w14:textId="5587D49C"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File Code: CMS–1</w:t>
      </w:r>
      <w:r w:rsidR="00A72D49">
        <w:rPr>
          <w:rFonts w:ascii="Arial" w:hAnsi="Arial" w:cs="Arial"/>
          <w:sz w:val="20"/>
          <w:szCs w:val="20"/>
        </w:rPr>
        <w:t>7</w:t>
      </w:r>
      <w:r w:rsidR="00C6724C">
        <w:rPr>
          <w:rFonts w:ascii="Arial" w:hAnsi="Arial" w:cs="Arial"/>
          <w:sz w:val="20"/>
          <w:szCs w:val="20"/>
        </w:rPr>
        <w:t>52</w:t>
      </w:r>
      <w:r w:rsidRPr="007B28BA">
        <w:rPr>
          <w:rFonts w:ascii="Arial" w:hAnsi="Arial" w:cs="Arial"/>
          <w:sz w:val="20"/>
          <w:szCs w:val="20"/>
        </w:rPr>
        <w:t>-P</w:t>
      </w:r>
    </w:p>
    <w:p w14:paraId="0BEFB13E" w14:textId="77777777" w:rsidR="007B28BA" w:rsidRPr="007B28BA" w:rsidRDefault="007B28BA" w:rsidP="007B28BA">
      <w:pPr>
        <w:autoSpaceDE w:val="0"/>
        <w:autoSpaceDN w:val="0"/>
        <w:adjustRightInd w:val="0"/>
        <w:rPr>
          <w:rFonts w:ascii="Arial" w:hAnsi="Arial" w:cs="Arial"/>
          <w:sz w:val="20"/>
          <w:szCs w:val="20"/>
        </w:rPr>
      </w:pPr>
    </w:p>
    <w:p w14:paraId="056F5B7D" w14:textId="7C5DBB54" w:rsidR="007B28BA" w:rsidRPr="007B28BA" w:rsidRDefault="007B28BA" w:rsidP="007B28BA">
      <w:pPr>
        <w:rPr>
          <w:rFonts w:ascii="Arial" w:hAnsi="Arial" w:cs="Arial"/>
          <w:b/>
          <w:bCs/>
          <w:i/>
          <w:iCs/>
          <w:sz w:val="20"/>
          <w:szCs w:val="20"/>
        </w:rPr>
      </w:pPr>
      <w:r w:rsidRPr="007B28BA">
        <w:rPr>
          <w:rFonts w:ascii="Arial" w:hAnsi="Arial" w:cs="Arial"/>
          <w:b/>
          <w:bCs/>
          <w:i/>
          <w:iCs/>
          <w:sz w:val="20"/>
          <w:szCs w:val="20"/>
        </w:rPr>
        <w:t>RE: CMS-1</w:t>
      </w:r>
      <w:r w:rsidR="00A72D49">
        <w:rPr>
          <w:rFonts w:ascii="Arial" w:hAnsi="Arial" w:cs="Arial"/>
          <w:b/>
          <w:bCs/>
          <w:i/>
          <w:iCs/>
          <w:sz w:val="20"/>
          <w:szCs w:val="20"/>
        </w:rPr>
        <w:t>7</w:t>
      </w:r>
      <w:r w:rsidR="00C26ACD">
        <w:rPr>
          <w:rFonts w:ascii="Arial" w:hAnsi="Arial" w:cs="Arial"/>
          <w:b/>
          <w:bCs/>
          <w:i/>
          <w:iCs/>
          <w:sz w:val="20"/>
          <w:szCs w:val="20"/>
        </w:rPr>
        <w:t>5</w:t>
      </w:r>
      <w:r w:rsidR="00C6724C">
        <w:rPr>
          <w:rFonts w:ascii="Arial" w:hAnsi="Arial" w:cs="Arial"/>
          <w:b/>
          <w:bCs/>
          <w:i/>
          <w:iCs/>
          <w:sz w:val="20"/>
          <w:szCs w:val="20"/>
        </w:rPr>
        <w:t>2</w:t>
      </w:r>
      <w:r w:rsidRPr="007B28BA">
        <w:rPr>
          <w:rFonts w:ascii="Arial" w:hAnsi="Arial" w:cs="Arial"/>
          <w:b/>
          <w:bCs/>
          <w:i/>
          <w:iCs/>
          <w:sz w:val="20"/>
          <w:szCs w:val="20"/>
        </w:rPr>
        <w:t xml:space="preserve">-P, </w:t>
      </w:r>
      <w:r w:rsidRPr="007B28BA">
        <w:rPr>
          <w:rFonts w:ascii="Arial" w:hAnsi="Arial" w:cs="Arial"/>
          <w:b/>
          <w:bCs/>
          <w:i/>
          <w:sz w:val="20"/>
          <w:szCs w:val="20"/>
        </w:rPr>
        <w:t>Medicare Program; Proposed Changes to the Hospital Inpatient Prospective Payment Systems for Acute Care Hospitals and the Long-Term Care Hospital Prospective Payment System and Fiscal Year 20</w:t>
      </w:r>
      <w:r w:rsidR="00A72D49">
        <w:rPr>
          <w:rFonts w:ascii="Arial" w:hAnsi="Arial" w:cs="Arial"/>
          <w:b/>
          <w:bCs/>
          <w:i/>
          <w:sz w:val="20"/>
          <w:szCs w:val="20"/>
        </w:rPr>
        <w:t>2</w:t>
      </w:r>
      <w:r w:rsidR="00C6724C">
        <w:rPr>
          <w:rFonts w:ascii="Arial" w:hAnsi="Arial" w:cs="Arial"/>
          <w:b/>
          <w:bCs/>
          <w:i/>
          <w:sz w:val="20"/>
          <w:szCs w:val="20"/>
        </w:rPr>
        <w:t>2</w:t>
      </w:r>
      <w:r w:rsidRPr="007B28BA">
        <w:rPr>
          <w:rFonts w:ascii="Arial" w:hAnsi="Arial" w:cs="Arial"/>
          <w:b/>
          <w:bCs/>
          <w:i/>
          <w:sz w:val="20"/>
          <w:szCs w:val="20"/>
        </w:rPr>
        <w:t xml:space="preserve"> Rates; </w:t>
      </w:r>
      <w:r w:rsidRPr="007B28BA">
        <w:rPr>
          <w:rFonts w:ascii="Arial" w:hAnsi="Arial" w:cs="Arial"/>
          <w:b/>
          <w:bCs/>
          <w:i/>
          <w:iCs/>
          <w:sz w:val="20"/>
          <w:szCs w:val="20"/>
        </w:rPr>
        <w:t xml:space="preserve">Proposed Rule  </w:t>
      </w:r>
    </w:p>
    <w:p w14:paraId="1C157439" w14:textId="77777777" w:rsidR="007B28BA" w:rsidRPr="007B28BA" w:rsidRDefault="007B28BA" w:rsidP="007B28BA">
      <w:pPr>
        <w:autoSpaceDE w:val="0"/>
        <w:autoSpaceDN w:val="0"/>
        <w:adjustRightInd w:val="0"/>
        <w:rPr>
          <w:rFonts w:ascii="Arial" w:hAnsi="Arial" w:cs="Arial"/>
          <w:sz w:val="20"/>
          <w:szCs w:val="20"/>
        </w:rPr>
      </w:pPr>
    </w:p>
    <w:p w14:paraId="7E186FD1" w14:textId="59F9777A"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 xml:space="preserve">Dear Ms. </w:t>
      </w:r>
      <w:r w:rsidR="006426AF">
        <w:rPr>
          <w:rFonts w:ascii="Arial" w:hAnsi="Arial" w:cs="Arial"/>
          <w:sz w:val="20"/>
          <w:szCs w:val="20"/>
        </w:rPr>
        <w:t>Brooks-</w:t>
      </w:r>
      <w:proofErr w:type="spellStart"/>
      <w:r w:rsidR="006426AF">
        <w:rPr>
          <w:rFonts w:ascii="Arial" w:hAnsi="Arial" w:cs="Arial"/>
          <w:sz w:val="20"/>
          <w:szCs w:val="20"/>
        </w:rPr>
        <w:t>LaSure</w:t>
      </w:r>
      <w:proofErr w:type="spellEnd"/>
      <w:r w:rsidRPr="007B28BA">
        <w:rPr>
          <w:rFonts w:ascii="Arial" w:hAnsi="Arial" w:cs="Arial"/>
          <w:sz w:val="20"/>
          <w:szCs w:val="20"/>
        </w:rPr>
        <w:t>:</w:t>
      </w:r>
    </w:p>
    <w:p w14:paraId="0A869F36" w14:textId="77777777" w:rsidR="007B28BA" w:rsidRPr="007B28BA" w:rsidRDefault="007B28BA" w:rsidP="007B28BA">
      <w:pPr>
        <w:autoSpaceDE w:val="0"/>
        <w:autoSpaceDN w:val="0"/>
        <w:adjustRightInd w:val="0"/>
        <w:rPr>
          <w:rFonts w:ascii="Arial" w:hAnsi="Arial" w:cs="Arial"/>
          <w:sz w:val="20"/>
          <w:szCs w:val="20"/>
        </w:rPr>
      </w:pPr>
    </w:p>
    <w:p w14:paraId="3E1092C3" w14:textId="4A056F15" w:rsidR="001C4DAB" w:rsidRDefault="007B28BA" w:rsidP="007B28BA">
      <w:pPr>
        <w:rPr>
          <w:rFonts w:ascii="Arial" w:hAnsi="Arial" w:cs="Arial"/>
          <w:sz w:val="20"/>
          <w:szCs w:val="20"/>
        </w:rPr>
      </w:pPr>
      <w:r w:rsidRPr="007B28BA">
        <w:rPr>
          <w:rFonts w:ascii="Arial" w:hAnsi="Arial" w:cs="Arial"/>
          <w:sz w:val="20"/>
          <w:szCs w:val="20"/>
        </w:rPr>
        <w:t xml:space="preserve">On behalf of its member hospitals, the Michigan Health &amp; Hospital Association (MHA) appreciates this opportunity to provide comments to the Centers for Medicare &amp; Medicaid Services (CMS) regarding the proposed rule to update the </w:t>
      </w:r>
      <w:r w:rsidR="00D03B8C">
        <w:rPr>
          <w:rFonts w:ascii="Arial" w:hAnsi="Arial" w:cs="Arial"/>
          <w:sz w:val="20"/>
          <w:szCs w:val="20"/>
        </w:rPr>
        <w:t xml:space="preserve">Medicare fee-for-service (FFS) </w:t>
      </w:r>
      <w:r w:rsidRPr="007B28BA">
        <w:rPr>
          <w:rFonts w:ascii="Arial" w:hAnsi="Arial" w:cs="Arial"/>
          <w:sz w:val="20"/>
          <w:szCs w:val="20"/>
        </w:rPr>
        <w:t>hospital Inpatient Prospective Payment System (IPPS) for fiscal year (FY) 20</w:t>
      </w:r>
      <w:r w:rsidR="00A72D49">
        <w:rPr>
          <w:rFonts w:ascii="Arial" w:hAnsi="Arial" w:cs="Arial"/>
          <w:sz w:val="20"/>
          <w:szCs w:val="20"/>
        </w:rPr>
        <w:t>2</w:t>
      </w:r>
      <w:r w:rsidR="00C6724C">
        <w:rPr>
          <w:rFonts w:ascii="Arial" w:hAnsi="Arial" w:cs="Arial"/>
          <w:sz w:val="20"/>
          <w:szCs w:val="20"/>
        </w:rPr>
        <w:t>2</w:t>
      </w:r>
      <w:r w:rsidRPr="007B28BA">
        <w:rPr>
          <w:rFonts w:ascii="Arial" w:hAnsi="Arial" w:cs="Arial"/>
          <w:sz w:val="20"/>
          <w:szCs w:val="20"/>
        </w:rPr>
        <w:t xml:space="preserve">. </w:t>
      </w:r>
      <w:bookmarkStart w:id="0" w:name="_Hlk45185367"/>
      <w:r w:rsidRPr="007B28BA">
        <w:rPr>
          <w:rFonts w:ascii="Arial" w:hAnsi="Arial" w:cs="Arial"/>
          <w:sz w:val="20"/>
          <w:szCs w:val="20"/>
        </w:rPr>
        <w:t>The proposed rule is estimated to provide a $</w:t>
      </w:r>
      <w:r w:rsidR="00C6724C">
        <w:rPr>
          <w:rFonts w:ascii="Arial" w:hAnsi="Arial" w:cs="Arial"/>
          <w:sz w:val="20"/>
          <w:szCs w:val="20"/>
        </w:rPr>
        <w:t>66</w:t>
      </w:r>
      <w:r w:rsidRPr="007B28BA">
        <w:rPr>
          <w:rFonts w:ascii="Arial" w:hAnsi="Arial" w:cs="Arial"/>
          <w:sz w:val="20"/>
          <w:szCs w:val="20"/>
        </w:rPr>
        <w:t xml:space="preserve"> million, or </w:t>
      </w:r>
      <w:r w:rsidR="00C6724C">
        <w:rPr>
          <w:rFonts w:ascii="Arial" w:hAnsi="Arial" w:cs="Arial"/>
          <w:sz w:val="20"/>
          <w:szCs w:val="20"/>
        </w:rPr>
        <w:t>1</w:t>
      </w:r>
      <w:r w:rsidR="00C26ACD">
        <w:rPr>
          <w:rFonts w:ascii="Arial" w:hAnsi="Arial" w:cs="Arial"/>
          <w:sz w:val="20"/>
          <w:szCs w:val="20"/>
        </w:rPr>
        <w:t>.5</w:t>
      </w:r>
      <w:r w:rsidR="00A72D49">
        <w:rPr>
          <w:rFonts w:ascii="Arial" w:hAnsi="Arial" w:cs="Arial"/>
          <w:sz w:val="20"/>
          <w:szCs w:val="20"/>
        </w:rPr>
        <w:t>%</w:t>
      </w:r>
      <w:r w:rsidRPr="007B28BA">
        <w:rPr>
          <w:rFonts w:ascii="Arial" w:hAnsi="Arial" w:cs="Arial"/>
          <w:sz w:val="20"/>
          <w:szCs w:val="20"/>
        </w:rPr>
        <w:t>, increase to Michigan hospitals in FY 20</w:t>
      </w:r>
      <w:r w:rsidR="00A72D49">
        <w:rPr>
          <w:rFonts w:ascii="Arial" w:hAnsi="Arial" w:cs="Arial"/>
          <w:sz w:val="20"/>
          <w:szCs w:val="20"/>
        </w:rPr>
        <w:t>2</w:t>
      </w:r>
      <w:r w:rsidR="00C6724C">
        <w:rPr>
          <w:rFonts w:ascii="Arial" w:hAnsi="Arial" w:cs="Arial"/>
          <w:sz w:val="20"/>
          <w:szCs w:val="20"/>
        </w:rPr>
        <w:t>2</w:t>
      </w:r>
      <w:r w:rsidRPr="007B28BA">
        <w:rPr>
          <w:rFonts w:ascii="Arial" w:hAnsi="Arial" w:cs="Arial"/>
          <w:sz w:val="20"/>
          <w:szCs w:val="20"/>
        </w:rPr>
        <w:t xml:space="preserve">, which is </w:t>
      </w:r>
      <w:r w:rsidR="00B87FF2">
        <w:rPr>
          <w:rFonts w:ascii="Arial" w:hAnsi="Arial" w:cs="Arial"/>
          <w:sz w:val="20"/>
          <w:szCs w:val="20"/>
        </w:rPr>
        <w:t xml:space="preserve">significantly </w:t>
      </w:r>
      <w:r w:rsidRPr="007B28BA">
        <w:rPr>
          <w:rFonts w:ascii="Arial" w:hAnsi="Arial" w:cs="Arial"/>
          <w:sz w:val="20"/>
          <w:szCs w:val="20"/>
        </w:rPr>
        <w:t xml:space="preserve">less than </w:t>
      </w:r>
      <w:r w:rsidRPr="00B87FF2">
        <w:rPr>
          <w:rFonts w:ascii="Arial" w:hAnsi="Arial" w:cs="Arial"/>
          <w:sz w:val="20"/>
          <w:szCs w:val="20"/>
        </w:rPr>
        <w:t xml:space="preserve">the projected </w:t>
      </w:r>
      <w:r w:rsidR="00B87FF2" w:rsidRPr="00B87FF2">
        <w:rPr>
          <w:rFonts w:ascii="Arial" w:hAnsi="Arial" w:cs="Arial"/>
          <w:sz w:val="20"/>
          <w:szCs w:val="20"/>
        </w:rPr>
        <w:t>6.5</w:t>
      </w:r>
      <w:r w:rsidR="00A355FB" w:rsidRPr="00B87FF2">
        <w:rPr>
          <w:rFonts w:ascii="Arial" w:hAnsi="Arial" w:cs="Arial"/>
          <w:sz w:val="20"/>
          <w:szCs w:val="20"/>
        </w:rPr>
        <w:t xml:space="preserve">% </w:t>
      </w:r>
      <w:r w:rsidRPr="00B87FF2">
        <w:rPr>
          <w:rFonts w:ascii="Arial" w:hAnsi="Arial" w:cs="Arial"/>
          <w:sz w:val="20"/>
          <w:szCs w:val="20"/>
        </w:rPr>
        <w:t>increase</w:t>
      </w:r>
      <w:r w:rsidRPr="001C4DAB">
        <w:rPr>
          <w:rFonts w:ascii="Arial" w:hAnsi="Arial" w:cs="Arial"/>
          <w:sz w:val="20"/>
          <w:szCs w:val="20"/>
        </w:rPr>
        <w:t xml:space="preserve"> in healthcare </w:t>
      </w:r>
      <w:r w:rsidR="00B87FF2">
        <w:rPr>
          <w:rFonts w:ascii="Arial" w:hAnsi="Arial" w:cs="Arial"/>
          <w:sz w:val="20"/>
          <w:szCs w:val="20"/>
        </w:rPr>
        <w:t>costs</w:t>
      </w:r>
      <w:r w:rsidRPr="001C4DAB">
        <w:rPr>
          <w:rFonts w:ascii="Arial" w:hAnsi="Arial" w:cs="Arial"/>
          <w:sz w:val="20"/>
          <w:szCs w:val="20"/>
        </w:rPr>
        <w:t xml:space="preserve"> </w:t>
      </w:r>
      <w:r w:rsidR="001C4DAB" w:rsidRPr="001C4DAB">
        <w:rPr>
          <w:rFonts w:ascii="Arial" w:hAnsi="Arial" w:cs="Arial"/>
          <w:sz w:val="20"/>
          <w:szCs w:val="20"/>
        </w:rPr>
        <w:t xml:space="preserve">projected </w:t>
      </w:r>
      <w:r w:rsidRPr="001C4DAB">
        <w:rPr>
          <w:rFonts w:ascii="Arial" w:hAnsi="Arial" w:cs="Arial"/>
          <w:sz w:val="20"/>
          <w:szCs w:val="20"/>
        </w:rPr>
        <w:t>for 20</w:t>
      </w:r>
      <w:r w:rsidR="00A72D49" w:rsidRPr="001C4DAB">
        <w:rPr>
          <w:rFonts w:ascii="Arial" w:hAnsi="Arial" w:cs="Arial"/>
          <w:sz w:val="20"/>
          <w:szCs w:val="20"/>
        </w:rPr>
        <w:t>2</w:t>
      </w:r>
      <w:r w:rsidR="00C6724C">
        <w:rPr>
          <w:rFonts w:ascii="Arial" w:hAnsi="Arial" w:cs="Arial"/>
          <w:sz w:val="20"/>
          <w:szCs w:val="20"/>
        </w:rPr>
        <w:t>2</w:t>
      </w:r>
      <w:r w:rsidR="00B87FF2">
        <w:rPr>
          <w:rFonts w:ascii="Arial" w:hAnsi="Arial" w:cs="Arial"/>
          <w:sz w:val="20"/>
          <w:szCs w:val="20"/>
        </w:rPr>
        <w:t xml:space="preserve"> based on a recent study by the PwC Health Research Institute</w:t>
      </w:r>
      <w:r w:rsidR="006A0C87">
        <w:rPr>
          <w:rFonts w:ascii="Arial" w:hAnsi="Arial" w:cs="Arial"/>
          <w:sz w:val="20"/>
          <w:szCs w:val="20"/>
        </w:rPr>
        <w:t>.</w:t>
      </w:r>
      <w:r w:rsidRPr="007B28BA">
        <w:rPr>
          <w:rFonts w:ascii="Arial" w:hAnsi="Arial" w:cs="Arial"/>
          <w:sz w:val="20"/>
          <w:szCs w:val="20"/>
        </w:rPr>
        <w:t xml:space="preserve"> </w:t>
      </w:r>
    </w:p>
    <w:bookmarkEnd w:id="0"/>
    <w:p w14:paraId="1A950BA8" w14:textId="77777777" w:rsidR="001C4DAB" w:rsidRDefault="001C4DAB" w:rsidP="007B28BA">
      <w:pPr>
        <w:rPr>
          <w:rFonts w:ascii="Arial" w:hAnsi="Arial" w:cs="Arial"/>
          <w:sz w:val="20"/>
          <w:szCs w:val="20"/>
        </w:rPr>
      </w:pPr>
    </w:p>
    <w:p w14:paraId="5D767D3A" w14:textId="68FDB395" w:rsidR="007B28BA" w:rsidRPr="007B28BA" w:rsidRDefault="007B28BA" w:rsidP="007B28BA">
      <w:pPr>
        <w:rPr>
          <w:rFonts w:ascii="Arial" w:hAnsi="Arial" w:cs="Arial"/>
          <w:sz w:val="20"/>
          <w:szCs w:val="20"/>
        </w:rPr>
      </w:pPr>
      <w:r w:rsidRPr="007B28BA">
        <w:rPr>
          <w:rFonts w:ascii="Arial" w:hAnsi="Arial" w:cs="Arial"/>
          <w:sz w:val="20"/>
          <w:szCs w:val="20"/>
        </w:rPr>
        <w:t>The absence of adequate Medicare paymen</w:t>
      </w:r>
      <w:r w:rsidR="000C1594">
        <w:rPr>
          <w:rFonts w:ascii="Arial" w:hAnsi="Arial" w:cs="Arial"/>
          <w:sz w:val="20"/>
          <w:szCs w:val="20"/>
        </w:rPr>
        <w:t>ts</w:t>
      </w:r>
      <w:r w:rsidRPr="007B28BA">
        <w:rPr>
          <w:rFonts w:ascii="Arial" w:hAnsi="Arial" w:cs="Arial"/>
          <w:sz w:val="20"/>
          <w:szCs w:val="20"/>
        </w:rPr>
        <w:t xml:space="preserve"> </w:t>
      </w:r>
      <w:r w:rsidR="009C317D">
        <w:rPr>
          <w:rFonts w:ascii="Arial" w:hAnsi="Arial" w:cs="Arial"/>
          <w:sz w:val="20"/>
          <w:szCs w:val="20"/>
        </w:rPr>
        <w:t xml:space="preserve">continues to </w:t>
      </w:r>
      <w:r w:rsidRPr="007B28BA">
        <w:rPr>
          <w:rFonts w:ascii="Arial" w:hAnsi="Arial" w:cs="Arial"/>
          <w:sz w:val="20"/>
          <w:szCs w:val="20"/>
        </w:rPr>
        <w:t>challenge the financial viability of Michigan hospitals and their ability to provide care to Medicare and other patients</w:t>
      </w:r>
      <w:r w:rsidR="00615279">
        <w:rPr>
          <w:rFonts w:ascii="Arial" w:hAnsi="Arial" w:cs="Arial"/>
          <w:sz w:val="20"/>
          <w:szCs w:val="20"/>
        </w:rPr>
        <w:t xml:space="preserve"> especially given the additional challenges hospitals have faced due to the COVID-19 pandemic</w:t>
      </w:r>
      <w:r w:rsidRPr="007B28BA">
        <w:rPr>
          <w:rFonts w:ascii="Arial" w:hAnsi="Arial" w:cs="Arial"/>
          <w:sz w:val="20"/>
          <w:szCs w:val="20"/>
        </w:rPr>
        <w:t xml:space="preserve">. The latest Medicare margins data </w:t>
      </w:r>
      <w:r w:rsidR="00615279">
        <w:rPr>
          <w:rFonts w:ascii="Arial" w:hAnsi="Arial" w:cs="Arial"/>
          <w:sz w:val="20"/>
          <w:szCs w:val="20"/>
        </w:rPr>
        <w:t xml:space="preserve">(pre-pandemic) </w:t>
      </w:r>
      <w:r w:rsidRPr="007B28BA">
        <w:rPr>
          <w:rFonts w:ascii="Arial" w:hAnsi="Arial" w:cs="Arial"/>
          <w:sz w:val="20"/>
          <w:szCs w:val="20"/>
        </w:rPr>
        <w:t>reflects that</w:t>
      </w:r>
      <w:r w:rsidR="00B62874">
        <w:rPr>
          <w:rFonts w:ascii="Arial" w:hAnsi="Arial" w:cs="Arial"/>
          <w:sz w:val="20"/>
          <w:szCs w:val="20"/>
        </w:rPr>
        <w:t xml:space="preserve"> </w:t>
      </w:r>
      <w:r w:rsidRPr="007B28BA">
        <w:rPr>
          <w:rFonts w:ascii="Arial" w:hAnsi="Arial" w:cs="Arial"/>
          <w:sz w:val="20"/>
          <w:szCs w:val="20"/>
        </w:rPr>
        <w:t xml:space="preserve">Medicare FFS pays Michigan PPS hospitals approximately </w:t>
      </w:r>
      <w:r w:rsidR="006169F9">
        <w:rPr>
          <w:rFonts w:ascii="Arial" w:hAnsi="Arial" w:cs="Arial"/>
          <w:sz w:val="20"/>
          <w:szCs w:val="20"/>
        </w:rPr>
        <w:t>5.5%</w:t>
      </w:r>
      <w:r w:rsidRPr="00AC47E1">
        <w:rPr>
          <w:rFonts w:ascii="Arial" w:hAnsi="Arial" w:cs="Arial"/>
          <w:sz w:val="20"/>
          <w:szCs w:val="20"/>
        </w:rPr>
        <w:t xml:space="preserve"> less than the cost of providing care to Medicare beneficiaries</w:t>
      </w:r>
      <w:r w:rsidR="000E1832">
        <w:rPr>
          <w:rFonts w:ascii="Arial" w:hAnsi="Arial" w:cs="Arial"/>
          <w:sz w:val="20"/>
          <w:szCs w:val="20"/>
        </w:rPr>
        <w:t>,</w:t>
      </w:r>
      <w:r w:rsidRPr="00AC47E1">
        <w:rPr>
          <w:rFonts w:ascii="Arial" w:hAnsi="Arial" w:cs="Arial"/>
          <w:sz w:val="20"/>
          <w:szCs w:val="20"/>
        </w:rPr>
        <w:t xml:space="preserve"> resulting in a shortfall of </w:t>
      </w:r>
      <w:r w:rsidR="006169F9">
        <w:rPr>
          <w:rFonts w:ascii="Arial" w:hAnsi="Arial" w:cs="Arial"/>
          <w:sz w:val="20"/>
          <w:szCs w:val="20"/>
        </w:rPr>
        <w:t>over $300</w:t>
      </w:r>
      <w:r w:rsidRPr="00AC47E1">
        <w:rPr>
          <w:rFonts w:ascii="Arial" w:hAnsi="Arial" w:cs="Arial"/>
          <w:sz w:val="20"/>
          <w:szCs w:val="20"/>
        </w:rPr>
        <w:t xml:space="preserve"> million</w:t>
      </w:r>
      <w:r w:rsidR="009C317D">
        <w:rPr>
          <w:rFonts w:ascii="Arial" w:hAnsi="Arial" w:cs="Arial"/>
          <w:sz w:val="20"/>
          <w:szCs w:val="20"/>
        </w:rPr>
        <w:t xml:space="preserve"> annually</w:t>
      </w:r>
      <w:r w:rsidRPr="00AC47E1">
        <w:rPr>
          <w:rFonts w:ascii="Arial" w:hAnsi="Arial" w:cs="Arial"/>
          <w:sz w:val="20"/>
          <w:szCs w:val="20"/>
        </w:rPr>
        <w:t>.</w:t>
      </w:r>
      <w:r w:rsidR="000155A2">
        <w:rPr>
          <w:rFonts w:ascii="Arial" w:hAnsi="Arial" w:cs="Arial"/>
          <w:sz w:val="20"/>
          <w:szCs w:val="20"/>
        </w:rPr>
        <w:t xml:space="preserve"> </w:t>
      </w:r>
      <w:r w:rsidR="009C317D">
        <w:rPr>
          <w:rFonts w:ascii="Arial" w:hAnsi="Arial" w:cs="Arial"/>
          <w:sz w:val="20"/>
          <w:szCs w:val="20"/>
        </w:rPr>
        <w:t xml:space="preserve">We continue to urge the CMS to close this gap to ensure long-term financial sustainability of hospitals. </w:t>
      </w:r>
      <w:r w:rsidRPr="007B28BA">
        <w:rPr>
          <w:rFonts w:ascii="Arial" w:hAnsi="Arial" w:cs="Arial"/>
          <w:sz w:val="20"/>
          <w:szCs w:val="20"/>
        </w:rPr>
        <w:t xml:space="preserve">Our comments </w:t>
      </w:r>
      <w:r w:rsidR="009C317D">
        <w:rPr>
          <w:rFonts w:ascii="Arial" w:hAnsi="Arial" w:cs="Arial"/>
          <w:sz w:val="20"/>
          <w:szCs w:val="20"/>
        </w:rPr>
        <w:t xml:space="preserve">on the FY 2022 </w:t>
      </w:r>
      <w:r w:rsidRPr="007B28BA">
        <w:rPr>
          <w:rFonts w:ascii="Arial" w:hAnsi="Arial" w:cs="Arial"/>
          <w:sz w:val="20"/>
          <w:szCs w:val="20"/>
        </w:rPr>
        <w:t xml:space="preserve">IPPS proposed rule focus </w:t>
      </w:r>
      <w:r w:rsidR="00016A5E">
        <w:rPr>
          <w:rFonts w:ascii="Arial" w:hAnsi="Arial" w:cs="Arial"/>
          <w:sz w:val="20"/>
          <w:szCs w:val="20"/>
        </w:rPr>
        <w:t xml:space="preserve">specifically </w:t>
      </w:r>
      <w:r w:rsidRPr="007B28BA">
        <w:rPr>
          <w:rFonts w:ascii="Arial" w:hAnsi="Arial" w:cs="Arial"/>
          <w:sz w:val="20"/>
          <w:szCs w:val="20"/>
        </w:rPr>
        <w:t>on</w:t>
      </w:r>
      <w:r w:rsidR="00016A5E">
        <w:rPr>
          <w:rFonts w:ascii="Arial" w:hAnsi="Arial" w:cs="Arial"/>
          <w:sz w:val="20"/>
          <w:szCs w:val="20"/>
        </w:rPr>
        <w:t>:</w:t>
      </w:r>
    </w:p>
    <w:p w14:paraId="25AEEF7E" w14:textId="77777777" w:rsidR="007B28BA" w:rsidRPr="007B28BA" w:rsidRDefault="007B28BA" w:rsidP="007B28BA">
      <w:pPr>
        <w:rPr>
          <w:rFonts w:ascii="Arial" w:hAnsi="Arial" w:cs="Arial"/>
          <w:sz w:val="20"/>
          <w:szCs w:val="20"/>
        </w:rPr>
      </w:pPr>
    </w:p>
    <w:p w14:paraId="2B417C29" w14:textId="02185E0A" w:rsidR="000F0CD7" w:rsidRDefault="000F0CD7" w:rsidP="00525637">
      <w:pPr>
        <w:numPr>
          <w:ilvl w:val="0"/>
          <w:numId w:val="1"/>
        </w:numPr>
        <w:rPr>
          <w:rFonts w:ascii="Arial" w:eastAsia="Calibri" w:hAnsi="Arial" w:cs="Arial"/>
          <w:sz w:val="20"/>
          <w:szCs w:val="20"/>
        </w:rPr>
      </w:pPr>
      <w:r>
        <w:rPr>
          <w:rFonts w:ascii="Arial" w:eastAsia="Calibri" w:hAnsi="Arial" w:cs="Arial"/>
          <w:sz w:val="20"/>
          <w:szCs w:val="20"/>
        </w:rPr>
        <w:t>Re</w:t>
      </w:r>
      <w:r w:rsidR="00145690">
        <w:rPr>
          <w:rFonts w:ascii="Arial" w:eastAsia="Calibri" w:hAnsi="Arial" w:cs="Arial"/>
          <w:sz w:val="20"/>
          <w:szCs w:val="20"/>
        </w:rPr>
        <w:t>pealing the requirement for</w:t>
      </w:r>
      <w:r>
        <w:rPr>
          <w:rFonts w:ascii="Arial" w:eastAsia="Calibri" w:hAnsi="Arial" w:cs="Arial"/>
          <w:sz w:val="20"/>
          <w:szCs w:val="20"/>
        </w:rPr>
        <w:t xml:space="preserve"> hospitals to report </w:t>
      </w:r>
      <w:r w:rsidR="00776657">
        <w:rPr>
          <w:rFonts w:ascii="Arial" w:eastAsia="Calibri" w:hAnsi="Arial" w:cs="Arial"/>
          <w:sz w:val="20"/>
          <w:szCs w:val="20"/>
        </w:rPr>
        <w:t>median charges and negotiated payment rates for Medicare Advantage</w:t>
      </w:r>
      <w:r w:rsidR="00A355FB">
        <w:rPr>
          <w:rFonts w:ascii="Arial" w:eastAsia="Calibri" w:hAnsi="Arial" w:cs="Arial"/>
          <w:sz w:val="20"/>
          <w:szCs w:val="20"/>
        </w:rPr>
        <w:t xml:space="preserve"> (MA) plans</w:t>
      </w:r>
      <w:r w:rsidR="00776657">
        <w:rPr>
          <w:rFonts w:ascii="Arial" w:eastAsia="Calibri" w:hAnsi="Arial" w:cs="Arial"/>
          <w:sz w:val="20"/>
          <w:szCs w:val="20"/>
        </w:rPr>
        <w:t xml:space="preserve"> </w:t>
      </w:r>
      <w:r>
        <w:rPr>
          <w:rFonts w:ascii="Arial" w:eastAsia="Calibri" w:hAnsi="Arial" w:cs="Arial"/>
          <w:sz w:val="20"/>
          <w:szCs w:val="20"/>
        </w:rPr>
        <w:t xml:space="preserve">by Medicare-Severity Diagnosis Related Group (MS-DRG) </w:t>
      </w:r>
    </w:p>
    <w:p w14:paraId="093DCE15" w14:textId="154B6C89" w:rsidR="00C6724C" w:rsidRDefault="00C6724C" w:rsidP="00525637">
      <w:pPr>
        <w:numPr>
          <w:ilvl w:val="0"/>
          <w:numId w:val="1"/>
        </w:numPr>
        <w:rPr>
          <w:rFonts w:ascii="Arial" w:eastAsia="Calibri" w:hAnsi="Arial" w:cs="Arial"/>
          <w:sz w:val="20"/>
          <w:szCs w:val="20"/>
        </w:rPr>
      </w:pPr>
      <w:r>
        <w:rPr>
          <w:rFonts w:ascii="Arial" w:eastAsia="Calibri" w:hAnsi="Arial" w:cs="Arial"/>
          <w:sz w:val="20"/>
          <w:szCs w:val="20"/>
        </w:rPr>
        <w:t xml:space="preserve">Extending the Medicare wage index stop loss </w:t>
      </w:r>
      <w:r w:rsidR="00145690">
        <w:rPr>
          <w:rFonts w:ascii="Arial" w:eastAsia="Calibri" w:hAnsi="Arial" w:cs="Arial"/>
          <w:sz w:val="20"/>
          <w:szCs w:val="20"/>
        </w:rPr>
        <w:t xml:space="preserve">transition </w:t>
      </w:r>
      <w:proofErr w:type="gramStart"/>
      <w:r w:rsidR="00145690">
        <w:rPr>
          <w:rFonts w:ascii="Arial" w:eastAsia="Calibri" w:hAnsi="Arial" w:cs="Arial"/>
          <w:sz w:val="20"/>
          <w:szCs w:val="20"/>
        </w:rPr>
        <w:t>policy</w:t>
      </w:r>
      <w:proofErr w:type="gramEnd"/>
      <w:r w:rsidR="00145690">
        <w:rPr>
          <w:rFonts w:ascii="Arial" w:eastAsia="Calibri" w:hAnsi="Arial" w:cs="Arial"/>
          <w:sz w:val="20"/>
          <w:szCs w:val="20"/>
        </w:rPr>
        <w:t xml:space="preserve"> </w:t>
      </w:r>
    </w:p>
    <w:p w14:paraId="175D1B4A" w14:textId="7A4F765B" w:rsidR="00525637" w:rsidRDefault="00525637" w:rsidP="00525637">
      <w:pPr>
        <w:numPr>
          <w:ilvl w:val="0"/>
          <w:numId w:val="1"/>
        </w:numPr>
        <w:rPr>
          <w:rFonts w:ascii="Arial" w:eastAsia="Calibri" w:hAnsi="Arial" w:cs="Arial"/>
          <w:sz w:val="20"/>
          <w:szCs w:val="20"/>
        </w:rPr>
      </w:pPr>
      <w:r>
        <w:rPr>
          <w:rFonts w:ascii="Arial" w:eastAsia="Calibri" w:hAnsi="Arial" w:cs="Arial"/>
          <w:sz w:val="20"/>
          <w:szCs w:val="20"/>
        </w:rPr>
        <w:t>Request</w:t>
      </w:r>
      <w:r w:rsidR="00D11342">
        <w:rPr>
          <w:rFonts w:ascii="Arial" w:eastAsia="Calibri" w:hAnsi="Arial" w:cs="Arial"/>
          <w:sz w:val="20"/>
          <w:szCs w:val="20"/>
        </w:rPr>
        <w:t xml:space="preserve">ing </w:t>
      </w:r>
      <w:r>
        <w:rPr>
          <w:rFonts w:ascii="Arial" w:eastAsia="Calibri" w:hAnsi="Arial" w:cs="Arial"/>
          <w:sz w:val="20"/>
          <w:szCs w:val="20"/>
        </w:rPr>
        <w:t xml:space="preserve">additional funding to reduce disparities in the Medicare wage </w:t>
      </w:r>
      <w:proofErr w:type="gramStart"/>
      <w:r>
        <w:rPr>
          <w:rFonts w:ascii="Arial" w:eastAsia="Calibri" w:hAnsi="Arial" w:cs="Arial"/>
          <w:sz w:val="20"/>
          <w:szCs w:val="20"/>
        </w:rPr>
        <w:t>index</w:t>
      </w:r>
      <w:proofErr w:type="gramEnd"/>
      <w:r>
        <w:rPr>
          <w:rFonts w:ascii="Arial" w:eastAsia="Calibri" w:hAnsi="Arial" w:cs="Arial"/>
          <w:sz w:val="20"/>
          <w:szCs w:val="20"/>
        </w:rPr>
        <w:t xml:space="preserve"> </w:t>
      </w:r>
    </w:p>
    <w:p w14:paraId="7CDA6651" w14:textId="53001466" w:rsidR="006A0C87" w:rsidRDefault="006A0C87" w:rsidP="006A0C87">
      <w:pPr>
        <w:numPr>
          <w:ilvl w:val="0"/>
          <w:numId w:val="1"/>
        </w:numPr>
        <w:rPr>
          <w:rFonts w:ascii="Arial" w:eastAsia="Calibri" w:hAnsi="Arial" w:cs="Arial"/>
          <w:sz w:val="20"/>
          <w:szCs w:val="20"/>
        </w:rPr>
      </w:pPr>
      <w:r>
        <w:rPr>
          <w:rFonts w:ascii="Arial" w:eastAsia="Calibri" w:hAnsi="Arial" w:cs="Arial"/>
          <w:sz w:val="20"/>
          <w:szCs w:val="20"/>
        </w:rPr>
        <w:t xml:space="preserve">Opposing the $600 million decrease in the uncompensated care (UCC) pool </w:t>
      </w:r>
    </w:p>
    <w:p w14:paraId="1F2F3473" w14:textId="44BB34D7" w:rsidR="00EA3093" w:rsidRDefault="00EA3093" w:rsidP="00EA3093">
      <w:pPr>
        <w:numPr>
          <w:ilvl w:val="0"/>
          <w:numId w:val="1"/>
        </w:numPr>
        <w:rPr>
          <w:rFonts w:ascii="Arial" w:eastAsia="Calibri" w:hAnsi="Arial" w:cs="Arial"/>
          <w:sz w:val="20"/>
          <w:szCs w:val="20"/>
        </w:rPr>
      </w:pPr>
      <w:r>
        <w:rPr>
          <w:rFonts w:ascii="Arial" w:eastAsia="Calibri" w:hAnsi="Arial" w:cs="Arial"/>
          <w:sz w:val="20"/>
          <w:szCs w:val="20"/>
        </w:rPr>
        <w:t xml:space="preserve">Improving the </w:t>
      </w:r>
      <w:r w:rsidR="006A0C87">
        <w:rPr>
          <w:rFonts w:ascii="Arial" w:eastAsia="Calibri" w:hAnsi="Arial" w:cs="Arial"/>
          <w:sz w:val="20"/>
          <w:szCs w:val="20"/>
        </w:rPr>
        <w:t>allocation</w:t>
      </w:r>
      <w:r>
        <w:rPr>
          <w:rFonts w:ascii="Arial" w:eastAsia="Calibri" w:hAnsi="Arial" w:cs="Arial"/>
          <w:sz w:val="20"/>
          <w:szCs w:val="20"/>
        </w:rPr>
        <w:t xml:space="preserve"> of additional medical residency slots </w:t>
      </w:r>
    </w:p>
    <w:p w14:paraId="70FAF1D4" w14:textId="60293A32" w:rsidR="00FD7349" w:rsidRDefault="00FD7349" w:rsidP="00D11342">
      <w:pPr>
        <w:numPr>
          <w:ilvl w:val="0"/>
          <w:numId w:val="1"/>
        </w:numPr>
        <w:rPr>
          <w:rFonts w:ascii="Arial" w:eastAsia="Calibri" w:hAnsi="Arial" w:cs="Arial"/>
          <w:sz w:val="20"/>
          <w:szCs w:val="20"/>
        </w:rPr>
      </w:pPr>
      <w:r>
        <w:rPr>
          <w:rFonts w:ascii="Arial" w:eastAsia="Calibri" w:hAnsi="Arial" w:cs="Arial"/>
          <w:sz w:val="20"/>
          <w:szCs w:val="20"/>
        </w:rPr>
        <w:t>Objecting to the proposed changes for organ acquisition costs</w:t>
      </w:r>
    </w:p>
    <w:p w14:paraId="0E0534AD" w14:textId="215A6080" w:rsidR="00A06B26" w:rsidRDefault="00D2744F" w:rsidP="007B28BA">
      <w:pPr>
        <w:numPr>
          <w:ilvl w:val="0"/>
          <w:numId w:val="1"/>
        </w:numPr>
        <w:rPr>
          <w:rFonts w:ascii="Arial" w:eastAsia="Calibri" w:hAnsi="Arial" w:cs="Arial"/>
          <w:sz w:val="20"/>
          <w:szCs w:val="20"/>
        </w:rPr>
      </w:pPr>
      <w:r>
        <w:rPr>
          <w:rFonts w:ascii="Arial" w:eastAsia="Calibri" w:hAnsi="Arial" w:cs="Arial"/>
          <w:sz w:val="20"/>
          <w:szCs w:val="20"/>
        </w:rPr>
        <w:t>R</w:t>
      </w:r>
      <w:r w:rsidR="00862539">
        <w:rPr>
          <w:rFonts w:ascii="Arial" w:eastAsia="Calibri" w:hAnsi="Arial" w:cs="Arial"/>
          <w:sz w:val="20"/>
          <w:szCs w:val="20"/>
        </w:rPr>
        <w:t>estor</w:t>
      </w:r>
      <w:r w:rsidR="00D11342">
        <w:rPr>
          <w:rFonts w:ascii="Arial" w:eastAsia="Calibri" w:hAnsi="Arial" w:cs="Arial"/>
          <w:sz w:val="20"/>
          <w:szCs w:val="20"/>
        </w:rPr>
        <w:t>ing</w:t>
      </w:r>
      <w:r w:rsidR="00862539">
        <w:rPr>
          <w:rFonts w:ascii="Arial" w:eastAsia="Calibri" w:hAnsi="Arial" w:cs="Arial"/>
          <w:sz w:val="20"/>
          <w:szCs w:val="20"/>
        </w:rPr>
        <w:t xml:space="preserve"> the A</w:t>
      </w:r>
      <w:r w:rsidR="00A355FB">
        <w:rPr>
          <w:rFonts w:ascii="Arial" w:eastAsia="Calibri" w:hAnsi="Arial" w:cs="Arial"/>
          <w:sz w:val="20"/>
          <w:szCs w:val="20"/>
        </w:rPr>
        <w:t>merican Taxpayer Relief Act (A</w:t>
      </w:r>
      <w:r w:rsidR="00862539">
        <w:rPr>
          <w:rFonts w:ascii="Arial" w:eastAsia="Calibri" w:hAnsi="Arial" w:cs="Arial"/>
          <w:sz w:val="20"/>
          <w:szCs w:val="20"/>
        </w:rPr>
        <w:t>TRA</w:t>
      </w:r>
      <w:r w:rsidR="00A355FB">
        <w:rPr>
          <w:rFonts w:ascii="Arial" w:eastAsia="Calibri" w:hAnsi="Arial" w:cs="Arial"/>
          <w:sz w:val="20"/>
          <w:szCs w:val="20"/>
        </w:rPr>
        <w:t>)</w:t>
      </w:r>
      <w:r w:rsidR="00862539">
        <w:rPr>
          <w:rFonts w:ascii="Arial" w:eastAsia="Calibri" w:hAnsi="Arial" w:cs="Arial"/>
          <w:sz w:val="20"/>
          <w:szCs w:val="20"/>
        </w:rPr>
        <w:t xml:space="preserve"> </w:t>
      </w:r>
      <w:r w:rsidR="00A06B26">
        <w:rPr>
          <w:rFonts w:ascii="Arial" w:eastAsia="Calibri" w:hAnsi="Arial" w:cs="Arial"/>
          <w:sz w:val="20"/>
          <w:szCs w:val="20"/>
        </w:rPr>
        <w:t xml:space="preserve">Documentation and Coding </w:t>
      </w:r>
      <w:r w:rsidR="00862539">
        <w:rPr>
          <w:rFonts w:ascii="Arial" w:eastAsia="Calibri" w:hAnsi="Arial" w:cs="Arial"/>
          <w:sz w:val="20"/>
          <w:szCs w:val="20"/>
        </w:rPr>
        <w:t>Offset</w:t>
      </w:r>
    </w:p>
    <w:p w14:paraId="0A11DD33" w14:textId="5D0CF398" w:rsidR="00EA3093" w:rsidRDefault="00EA3093" w:rsidP="00EA3093">
      <w:pPr>
        <w:numPr>
          <w:ilvl w:val="0"/>
          <w:numId w:val="1"/>
        </w:numPr>
        <w:rPr>
          <w:rFonts w:ascii="Arial" w:eastAsia="Calibri" w:hAnsi="Arial" w:cs="Arial"/>
          <w:sz w:val="20"/>
          <w:szCs w:val="20"/>
        </w:rPr>
      </w:pPr>
      <w:r>
        <w:rPr>
          <w:rFonts w:ascii="Arial" w:eastAsia="Calibri" w:hAnsi="Arial" w:cs="Arial"/>
          <w:sz w:val="20"/>
          <w:szCs w:val="20"/>
        </w:rPr>
        <w:t>Opposing the addition of the COVID-19 Healthcare Personnel (HCP) vaccine</w:t>
      </w:r>
      <w:r w:rsidR="00514202">
        <w:rPr>
          <w:rFonts w:ascii="Arial" w:eastAsia="Calibri" w:hAnsi="Arial" w:cs="Arial"/>
          <w:sz w:val="20"/>
          <w:szCs w:val="20"/>
        </w:rPr>
        <w:t xml:space="preserve"> </w:t>
      </w:r>
      <w:proofErr w:type="gramStart"/>
      <w:r w:rsidR="00514202">
        <w:rPr>
          <w:rFonts w:ascii="Arial" w:eastAsia="Calibri" w:hAnsi="Arial" w:cs="Arial"/>
          <w:sz w:val="20"/>
          <w:szCs w:val="20"/>
        </w:rPr>
        <w:t xml:space="preserve">measure </w:t>
      </w:r>
      <w:r>
        <w:rPr>
          <w:rFonts w:ascii="Arial" w:eastAsia="Calibri" w:hAnsi="Arial" w:cs="Arial"/>
          <w:sz w:val="20"/>
          <w:szCs w:val="20"/>
        </w:rPr>
        <w:t xml:space="preserve"> in</w:t>
      </w:r>
      <w:proofErr w:type="gramEnd"/>
      <w:r>
        <w:rPr>
          <w:rFonts w:ascii="Arial" w:eastAsia="Calibri" w:hAnsi="Arial" w:cs="Arial"/>
          <w:sz w:val="20"/>
          <w:szCs w:val="20"/>
        </w:rPr>
        <w:t xml:space="preserve"> the inpatient quality reporting program </w:t>
      </w:r>
    </w:p>
    <w:p w14:paraId="2DD0ED1B" w14:textId="77777777" w:rsidR="000155A2" w:rsidRDefault="00EA3093" w:rsidP="007B28BA">
      <w:pPr>
        <w:numPr>
          <w:ilvl w:val="0"/>
          <w:numId w:val="1"/>
        </w:numPr>
        <w:rPr>
          <w:rFonts w:ascii="Arial" w:eastAsia="Calibri" w:hAnsi="Arial" w:cs="Arial"/>
          <w:sz w:val="20"/>
          <w:szCs w:val="20"/>
        </w:rPr>
      </w:pPr>
      <w:r>
        <w:rPr>
          <w:rFonts w:ascii="Arial" w:eastAsia="Calibri" w:hAnsi="Arial" w:cs="Arial"/>
          <w:sz w:val="20"/>
          <w:szCs w:val="20"/>
        </w:rPr>
        <w:t>Closing the health equity gap</w:t>
      </w:r>
    </w:p>
    <w:p w14:paraId="2DF7D19D" w14:textId="2DCBCC89" w:rsidR="00EA3093" w:rsidRDefault="00216A78" w:rsidP="007B28BA">
      <w:pPr>
        <w:numPr>
          <w:ilvl w:val="0"/>
          <w:numId w:val="1"/>
        </w:numPr>
        <w:rPr>
          <w:rFonts w:ascii="Arial" w:eastAsia="Calibri" w:hAnsi="Arial" w:cs="Arial"/>
          <w:sz w:val="20"/>
          <w:szCs w:val="20"/>
        </w:rPr>
      </w:pPr>
      <w:r>
        <w:rPr>
          <w:rFonts w:ascii="Arial" w:eastAsia="Calibri" w:hAnsi="Arial" w:cs="Arial"/>
          <w:sz w:val="20"/>
          <w:szCs w:val="20"/>
        </w:rPr>
        <w:t>Using</w:t>
      </w:r>
      <w:r w:rsidR="000155A2">
        <w:rPr>
          <w:rFonts w:ascii="Arial" w:eastAsia="Calibri" w:hAnsi="Arial" w:cs="Arial"/>
          <w:sz w:val="20"/>
          <w:szCs w:val="20"/>
        </w:rPr>
        <w:t xml:space="preserve"> fast healthcare interoperative resources (FHIR) </w:t>
      </w:r>
      <w:r w:rsidR="00EA3093">
        <w:rPr>
          <w:rFonts w:ascii="Arial" w:eastAsia="Calibri" w:hAnsi="Arial" w:cs="Arial"/>
          <w:sz w:val="20"/>
          <w:szCs w:val="20"/>
        </w:rPr>
        <w:t xml:space="preserve"> </w:t>
      </w:r>
    </w:p>
    <w:p w14:paraId="2F118384" w14:textId="7EF23C14" w:rsidR="00B51B8A" w:rsidRPr="00B51B8A" w:rsidRDefault="00D2744F" w:rsidP="007B28BA">
      <w:pPr>
        <w:numPr>
          <w:ilvl w:val="0"/>
          <w:numId w:val="1"/>
        </w:numPr>
        <w:rPr>
          <w:rFonts w:ascii="Arial" w:eastAsia="Calibri" w:hAnsi="Arial" w:cs="Arial"/>
          <w:sz w:val="20"/>
          <w:szCs w:val="20"/>
        </w:rPr>
      </w:pPr>
      <w:r>
        <w:rPr>
          <w:rFonts w:ascii="Arial" w:eastAsia="Calibri" w:hAnsi="Arial" w:cs="Arial"/>
          <w:sz w:val="20"/>
          <w:szCs w:val="20"/>
        </w:rPr>
        <w:t>R</w:t>
      </w:r>
      <w:r w:rsidR="00D11342">
        <w:rPr>
          <w:rFonts w:ascii="Arial" w:eastAsia="Calibri" w:hAnsi="Arial" w:cs="Arial"/>
          <w:sz w:val="20"/>
          <w:szCs w:val="20"/>
        </w:rPr>
        <w:t xml:space="preserve">eleasing the </w:t>
      </w:r>
      <w:r w:rsidR="00B51B8A" w:rsidRPr="00B51B8A">
        <w:rPr>
          <w:rFonts w:ascii="Arial" w:eastAsia="Calibri" w:hAnsi="Arial" w:cs="Arial"/>
          <w:sz w:val="20"/>
          <w:szCs w:val="20"/>
        </w:rPr>
        <w:t>final program factors for the</w:t>
      </w:r>
      <w:r w:rsidR="00AE1FCF">
        <w:rPr>
          <w:rFonts w:ascii="Arial" w:eastAsia="Calibri" w:hAnsi="Arial" w:cs="Arial"/>
          <w:sz w:val="20"/>
          <w:szCs w:val="20"/>
        </w:rPr>
        <w:t xml:space="preserve"> </w:t>
      </w:r>
      <w:r w:rsidR="00D11342">
        <w:rPr>
          <w:rFonts w:ascii="Arial" w:eastAsia="Calibri" w:hAnsi="Arial" w:cs="Arial"/>
          <w:sz w:val="20"/>
          <w:szCs w:val="20"/>
        </w:rPr>
        <w:t xml:space="preserve">three </w:t>
      </w:r>
      <w:r w:rsidR="00B51B8A" w:rsidRPr="00B51B8A">
        <w:rPr>
          <w:rFonts w:ascii="Arial" w:eastAsia="Calibri" w:hAnsi="Arial" w:cs="Arial"/>
          <w:sz w:val="20"/>
          <w:szCs w:val="20"/>
        </w:rPr>
        <w:t>Medicare quality-based programs</w:t>
      </w:r>
      <w:r w:rsidR="00D11342">
        <w:rPr>
          <w:rFonts w:ascii="Arial" w:eastAsia="Calibri" w:hAnsi="Arial" w:cs="Arial"/>
          <w:sz w:val="20"/>
          <w:szCs w:val="20"/>
        </w:rPr>
        <w:t xml:space="preserve"> prior to Oct. 1</w:t>
      </w:r>
    </w:p>
    <w:p w14:paraId="29C8ABE5" w14:textId="77777777" w:rsidR="00C6724C" w:rsidRDefault="00C6724C" w:rsidP="00EC5F06">
      <w:pPr>
        <w:autoSpaceDE w:val="0"/>
        <w:autoSpaceDN w:val="0"/>
        <w:adjustRightInd w:val="0"/>
        <w:rPr>
          <w:rFonts w:ascii="Arial" w:hAnsi="Arial" w:cs="Arial"/>
          <w:b/>
          <w:color w:val="000000"/>
          <w:sz w:val="20"/>
          <w:szCs w:val="20"/>
          <w:u w:val="single"/>
        </w:rPr>
      </w:pPr>
    </w:p>
    <w:p w14:paraId="4731BCFE" w14:textId="0E365385" w:rsidR="00372D0F" w:rsidRPr="00E718AB" w:rsidRDefault="006A0C87" w:rsidP="00EC5F06">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R</w:t>
      </w:r>
      <w:r w:rsidR="00C6724C" w:rsidRPr="00E718AB">
        <w:rPr>
          <w:rFonts w:ascii="Arial" w:hAnsi="Arial" w:cs="Arial"/>
          <w:b/>
          <w:color w:val="000000"/>
          <w:sz w:val="20"/>
          <w:szCs w:val="20"/>
          <w:highlight w:val="lightGray"/>
          <w:u w:val="single"/>
        </w:rPr>
        <w:t xml:space="preserve">EPORTING MEDIAN PAYOR SPECIFIC RATES </w:t>
      </w:r>
      <w:r w:rsidR="00F052B2">
        <w:rPr>
          <w:rFonts w:ascii="Arial" w:hAnsi="Arial" w:cs="Arial"/>
          <w:b/>
          <w:color w:val="000000"/>
          <w:sz w:val="20"/>
          <w:szCs w:val="20"/>
          <w:highlight w:val="lightGray"/>
          <w:u w:val="single"/>
        </w:rPr>
        <w:t>FOR</w:t>
      </w:r>
      <w:r w:rsidR="00C6724C" w:rsidRPr="00E718AB">
        <w:rPr>
          <w:rFonts w:ascii="Arial" w:hAnsi="Arial" w:cs="Arial"/>
          <w:b/>
          <w:color w:val="000000"/>
          <w:sz w:val="20"/>
          <w:szCs w:val="20"/>
          <w:highlight w:val="lightGray"/>
          <w:u w:val="single"/>
        </w:rPr>
        <w:t xml:space="preserve"> M</w:t>
      </w:r>
      <w:r w:rsidR="00E718AB">
        <w:rPr>
          <w:rFonts w:ascii="Arial" w:hAnsi="Arial" w:cs="Arial"/>
          <w:b/>
          <w:color w:val="000000"/>
          <w:sz w:val="20"/>
          <w:szCs w:val="20"/>
          <w:highlight w:val="lightGray"/>
          <w:u w:val="single"/>
        </w:rPr>
        <w:t>EDICARE ADVANT</w:t>
      </w:r>
      <w:r w:rsidR="00CD0AA3" w:rsidRPr="00E718AB">
        <w:rPr>
          <w:rFonts w:ascii="Arial" w:hAnsi="Arial" w:cs="Arial"/>
          <w:b/>
          <w:color w:val="000000"/>
          <w:sz w:val="20"/>
          <w:szCs w:val="20"/>
          <w:highlight w:val="lightGray"/>
          <w:u w:val="single"/>
        </w:rPr>
        <w:t>A</w:t>
      </w:r>
      <w:r w:rsidR="00E718AB">
        <w:rPr>
          <w:rFonts w:ascii="Arial" w:hAnsi="Arial" w:cs="Arial"/>
          <w:b/>
          <w:color w:val="000000"/>
          <w:sz w:val="20"/>
          <w:szCs w:val="20"/>
          <w:highlight w:val="lightGray"/>
          <w:u w:val="single"/>
        </w:rPr>
        <w:t>GE</w:t>
      </w:r>
      <w:r w:rsidR="00C6724C" w:rsidRPr="00E718AB">
        <w:rPr>
          <w:rFonts w:ascii="Arial" w:hAnsi="Arial" w:cs="Arial"/>
          <w:b/>
          <w:color w:val="000000"/>
          <w:sz w:val="20"/>
          <w:szCs w:val="20"/>
          <w:highlight w:val="lightGray"/>
          <w:u w:val="single"/>
        </w:rPr>
        <w:t xml:space="preserve"> PLANS</w:t>
      </w:r>
      <w:r w:rsidR="00372D0F" w:rsidRPr="00E718AB">
        <w:rPr>
          <w:rFonts w:ascii="Arial" w:hAnsi="Arial" w:cs="Arial"/>
          <w:b/>
          <w:color w:val="000000"/>
          <w:sz w:val="20"/>
          <w:szCs w:val="20"/>
          <w:highlight w:val="lightGray"/>
          <w:u w:val="single"/>
        </w:rPr>
        <w:t xml:space="preserve"> </w:t>
      </w:r>
    </w:p>
    <w:p w14:paraId="4A0E5AD4" w14:textId="23BF5BDF" w:rsidR="00372D0F" w:rsidRPr="00CD0AA3" w:rsidRDefault="00372D0F" w:rsidP="00EC5F06">
      <w:pPr>
        <w:autoSpaceDE w:val="0"/>
        <w:autoSpaceDN w:val="0"/>
        <w:adjustRightInd w:val="0"/>
        <w:rPr>
          <w:rFonts w:ascii="Arial" w:hAnsi="Arial" w:cs="Arial"/>
          <w:b/>
          <w:color w:val="000000"/>
          <w:highlight w:val="lightGray"/>
          <w:u w:val="single"/>
        </w:rPr>
      </w:pPr>
    </w:p>
    <w:p w14:paraId="184E1800" w14:textId="775AE0F4" w:rsidR="003213B5" w:rsidRPr="00C40B06" w:rsidRDefault="00372D0F" w:rsidP="00C6724C">
      <w:pPr>
        <w:autoSpaceDE w:val="0"/>
        <w:autoSpaceDN w:val="0"/>
        <w:adjustRightInd w:val="0"/>
        <w:rPr>
          <w:rFonts w:ascii="Arial" w:hAnsi="Arial" w:cs="Arial"/>
          <w:b/>
          <w:color w:val="000000"/>
          <w:sz w:val="20"/>
          <w:szCs w:val="20"/>
        </w:rPr>
      </w:pPr>
      <w:r w:rsidRPr="00372D0F">
        <w:rPr>
          <w:rFonts w:ascii="Arial" w:hAnsi="Arial" w:cs="Arial"/>
          <w:bCs/>
          <w:color w:val="000000"/>
          <w:sz w:val="20"/>
          <w:szCs w:val="20"/>
        </w:rPr>
        <w:lastRenderedPageBreak/>
        <w:t xml:space="preserve">The </w:t>
      </w:r>
      <w:r>
        <w:rPr>
          <w:rFonts w:ascii="Arial" w:hAnsi="Arial" w:cs="Arial"/>
          <w:bCs/>
          <w:color w:val="000000"/>
          <w:sz w:val="20"/>
          <w:szCs w:val="20"/>
        </w:rPr>
        <w:t xml:space="preserve">MHA </w:t>
      </w:r>
      <w:r w:rsidR="00C6724C">
        <w:rPr>
          <w:rFonts w:ascii="Arial" w:hAnsi="Arial" w:cs="Arial"/>
          <w:bCs/>
          <w:color w:val="000000"/>
          <w:sz w:val="20"/>
          <w:szCs w:val="20"/>
        </w:rPr>
        <w:t xml:space="preserve">appreciates </w:t>
      </w:r>
      <w:r w:rsidR="00D56BC8">
        <w:rPr>
          <w:rFonts w:ascii="Arial" w:hAnsi="Arial" w:cs="Arial"/>
          <w:bCs/>
          <w:color w:val="000000"/>
          <w:sz w:val="20"/>
          <w:szCs w:val="20"/>
        </w:rPr>
        <w:t xml:space="preserve">and applauds the CMS’ proposal to </w:t>
      </w:r>
      <w:r w:rsidR="00C6724C">
        <w:rPr>
          <w:rFonts w:ascii="Arial" w:hAnsi="Arial" w:cs="Arial"/>
          <w:bCs/>
          <w:color w:val="000000"/>
          <w:sz w:val="20"/>
          <w:szCs w:val="20"/>
        </w:rPr>
        <w:t xml:space="preserve">repeal the requirement that hospitals </w:t>
      </w:r>
      <w:r w:rsidR="00D56BC8">
        <w:rPr>
          <w:rFonts w:ascii="Arial" w:hAnsi="Arial" w:cs="Arial"/>
          <w:bCs/>
          <w:color w:val="000000"/>
          <w:sz w:val="20"/>
          <w:szCs w:val="20"/>
        </w:rPr>
        <w:t xml:space="preserve">report </w:t>
      </w:r>
      <w:r w:rsidR="00C6724C">
        <w:rPr>
          <w:rFonts w:ascii="Arial" w:hAnsi="Arial" w:cs="Arial"/>
          <w:bCs/>
          <w:color w:val="000000"/>
          <w:sz w:val="20"/>
          <w:szCs w:val="20"/>
        </w:rPr>
        <w:t>median payer-specific negotiated rates for inpatient services, by Medicare-Severity-Diagnosis Related Group (MS-DRG)</w:t>
      </w:r>
      <w:r w:rsidR="00C40B06">
        <w:rPr>
          <w:rFonts w:ascii="Arial" w:hAnsi="Arial" w:cs="Arial"/>
          <w:bCs/>
          <w:color w:val="000000"/>
          <w:sz w:val="20"/>
          <w:szCs w:val="20"/>
        </w:rPr>
        <w:t>,</w:t>
      </w:r>
      <w:r w:rsidR="00C6724C">
        <w:rPr>
          <w:rFonts w:ascii="Arial" w:hAnsi="Arial" w:cs="Arial"/>
          <w:bCs/>
          <w:color w:val="000000"/>
          <w:sz w:val="20"/>
          <w:szCs w:val="20"/>
        </w:rPr>
        <w:t xml:space="preserve"> for Medicare Advantage (MA) plans</w:t>
      </w:r>
      <w:r w:rsidR="00D56BC8">
        <w:rPr>
          <w:rFonts w:ascii="Arial" w:hAnsi="Arial" w:cs="Arial"/>
          <w:bCs/>
          <w:color w:val="000000"/>
          <w:sz w:val="20"/>
          <w:szCs w:val="20"/>
        </w:rPr>
        <w:t xml:space="preserve"> on the Medicare cost report</w:t>
      </w:r>
      <w:r w:rsidR="00C6724C">
        <w:rPr>
          <w:rFonts w:ascii="Arial" w:hAnsi="Arial" w:cs="Arial"/>
          <w:bCs/>
          <w:color w:val="000000"/>
          <w:sz w:val="20"/>
          <w:szCs w:val="20"/>
        </w:rPr>
        <w:t xml:space="preserve">. </w:t>
      </w:r>
      <w:r w:rsidR="00341094">
        <w:rPr>
          <w:rFonts w:ascii="Arial" w:hAnsi="Arial" w:cs="Arial"/>
          <w:bCs/>
          <w:color w:val="000000"/>
          <w:sz w:val="20"/>
          <w:szCs w:val="20"/>
        </w:rPr>
        <w:t>T</w:t>
      </w:r>
      <w:r w:rsidR="00D56BC8">
        <w:rPr>
          <w:rFonts w:ascii="Arial" w:hAnsi="Arial" w:cs="Arial"/>
          <w:bCs/>
          <w:color w:val="000000"/>
          <w:sz w:val="20"/>
          <w:szCs w:val="20"/>
        </w:rPr>
        <w:t>he MHA opposed th</w:t>
      </w:r>
      <w:r w:rsidR="00341094">
        <w:rPr>
          <w:rFonts w:ascii="Arial" w:hAnsi="Arial" w:cs="Arial"/>
          <w:bCs/>
          <w:color w:val="000000"/>
          <w:sz w:val="20"/>
          <w:szCs w:val="20"/>
        </w:rPr>
        <w:t xml:space="preserve">e </w:t>
      </w:r>
      <w:r w:rsidR="00514202">
        <w:rPr>
          <w:rFonts w:ascii="Arial" w:hAnsi="Arial" w:cs="Arial"/>
          <w:bCs/>
          <w:color w:val="000000"/>
          <w:sz w:val="20"/>
          <w:szCs w:val="20"/>
        </w:rPr>
        <w:t>provision included in the FY 2021 IPPS proposed rule that would require hospitals</w:t>
      </w:r>
      <w:r w:rsidR="00D56BC8">
        <w:rPr>
          <w:rFonts w:ascii="Arial" w:hAnsi="Arial" w:cs="Arial"/>
          <w:bCs/>
          <w:color w:val="000000"/>
          <w:sz w:val="20"/>
          <w:szCs w:val="20"/>
        </w:rPr>
        <w:t xml:space="preserve"> </w:t>
      </w:r>
      <w:r w:rsidR="00514202">
        <w:rPr>
          <w:rFonts w:ascii="Arial" w:hAnsi="Arial" w:cs="Arial"/>
          <w:bCs/>
          <w:color w:val="000000"/>
          <w:sz w:val="20"/>
          <w:szCs w:val="20"/>
        </w:rPr>
        <w:t xml:space="preserve">to </w:t>
      </w:r>
      <w:r w:rsidR="00D56BC8">
        <w:rPr>
          <w:rFonts w:ascii="Arial" w:hAnsi="Arial" w:cs="Arial"/>
          <w:bCs/>
          <w:color w:val="000000"/>
          <w:sz w:val="20"/>
          <w:szCs w:val="20"/>
        </w:rPr>
        <w:t xml:space="preserve">disclose privately negotiated contractual terms on the Medicare cost report. </w:t>
      </w:r>
      <w:r w:rsidR="00D56BC8" w:rsidRPr="00C40B06">
        <w:rPr>
          <w:rFonts w:ascii="Arial" w:hAnsi="Arial" w:cs="Arial"/>
          <w:b/>
          <w:color w:val="000000"/>
          <w:sz w:val="20"/>
          <w:szCs w:val="20"/>
        </w:rPr>
        <w:t xml:space="preserve">We continue to urge the CMS to focus on transparency efforts that help patients access their specific financial information based on their individual coverage and care. </w:t>
      </w:r>
    </w:p>
    <w:p w14:paraId="11B25EC3" w14:textId="77777777" w:rsidR="001B09EE" w:rsidRDefault="001B09EE" w:rsidP="00C6724C">
      <w:pPr>
        <w:autoSpaceDE w:val="0"/>
        <w:autoSpaceDN w:val="0"/>
        <w:adjustRightInd w:val="0"/>
        <w:rPr>
          <w:rFonts w:ascii="Arial" w:hAnsi="Arial" w:cs="Arial"/>
          <w:b/>
          <w:color w:val="000000"/>
          <w:sz w:val="20"/>
          <w:szCs w:val="20"/>
          <w:u w:val="single"/>
        </w:rPr>
      </w:pPr>
    </w:p>
    <w:p w14:paraId="387FC28B" w14:textId="77777777" w:rsidR="007333BE" w:rsidRPr="005A7823" w:rsidRDefault="00EC5F06" w:rsidP="00EC5F06">
      <w:pPr>
        <w:autoSpaceDE w:val="0"/>
        <w:autoSpaceDN w:val="0"/>
        <w:adjustRightInd w:val="0"/>
        <w:rPr>
          <w:rFonts w:ascii="Arial" w:hAnsi="Arial" w:cs="Arial"/>
          <w:b/>
          <w:color w:val="000000"/>
          <w:sz w:val="20"/>
          <w:szCs w:val="20"/>
          <w:u w:val="single"/>
        </w:rPr>
      </w:pPr>
      <w:r w:rsidRPr="005A7823">
        <w:rPr>
          <w:rFonts w:ascii="Arial" w:hAnsi="Arial" w:cs="Arial"/>
          <w:b/>
          <w:color w:val="000000"/>
          <w:sz w:val="20"/>
          <w:szCs w:val="20"/>
          <w:highlight w:val="lightGray"/>
          <w:u w:val="single"/>
        </w:rPr>
        <w:t>WAGE INDEX</w:t>
      </w:r>
    </w:p>
    <w:p w14:paraId="623D6237" w14:textId="77777777" w:rsidR="007333BE" w:rsidRDefault="007333BE" w:rsidP="00EC5F06">
      <w:pPr>
        <w:autoSpaceDE w:val="0"/>
        <w:autoSpaceDN w:val="0"/>
        <w:adjustRightInd w:val="0"/>
        <w:rPr>
          <w:rFonts w:ascii="Arial" w:hAnsi="Arial" w:cs="Arial"/>
          <w:b/>
          <w:color w:val="000000"/>
          <w:sz w:val="20"/>
          <w:szCs w:val="20"/>
          <w:u w:val="single"/>
        </w:rPr>
      </w:pPr>
    </w:p>
    <w:p w14:paraId="56CAD6C1" w14:textId="3E6B0335" w:rsidR="00CC3A42" w:rsidRPr="00216A78" w:rsidRDefault="0058013C" w:rsidP="00EC5F06">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S</w:t>
      </w:r>
      <w:r w:rsidR="00216A78" w:rsidRPr="00216A78">
        <w:rPr>
          <w:rFonts w:ascii="Arial" w:hAnsi="Arial" w:cs="Arial"/>
          <w:b/>
          <w:i/>
          <w:iCs/>
          <w:color w:val="000000"/>
          <w:sz w:val="20"/>
          <w:szCs w:val="20"/>
          <w:u w:val="single"/>
        </w:rPr>
        <w:t>top Loss Transition Policy</w:t>
      </w:r>
    </w:p>
    <w:p w14:paraId="6B7628E5" w14:textId="35B75BA8" w:rsidR="00CC3A42" w:rsidRPr="00433E42" w:rsidRDefault="00CC3A42" w:rsidP="00EC5F06">
      <w:pPr>
        <w:autoSpaceDE w:val="0"/>
        <w:autoSpaceDN w:val="0"/>
        <w:adjustRightInd w:val="0"/>
        <w:rPr>
          <w:rFonts w:ascii="Arial" w:hAnsi="Arial" w:cs="Arial"/>
          <w:bCs/>
          <w:color w:val="000000"/>
          <w:sz w:val="20"/>
          <w:szCs w:val="20"/>
        </w:rPr>
      </w:pPr>
      <w:r w:rsidRPr="00CC3A42">
        <w:rPr>
          <w:rFonts w:ascii="Arial" w:hAnsi="Arial" w:cs="Arial"/>
          <w:bCs/>
          <w:color w:val="000000"/>
          <w:sz w:val="20"/>
          <w:szCs w:val="20"/>
        </w:rPr>
        <w:t>In the FY 20</w:t>
      </w:r>
      <w:r w:rsidRPr="00436037">
        <w:rPr>
          <w:rFonts w:ascii="Arial" w:hAnsi="Arial" w:cs="Arial"/>
          <w:bCs/>
          <w:color w:val="000000"/>
          <w:sz w:val="20"/>
          <w:szCs w:val="20"/>
        </w:rPr>
        <w:t>21</w:t>
      </w:r>
      <w:r w:rsidRPr="00CC3A42">
        <w:rPr>
          <w:rFonts w:ascii="Arial" w:hAnsi="Arial" w:cs="Arial"/>
          <w:bCs/>
          <w:color w:val="000000"/>
          <w:sz w:val="20"/>
          <w:szCs w:val="20"/>
        </w:rPr>
        <w:t xml:space="preserve"> </w:t>
      </w:r>
      <w:r w:rsidR="007333BE">
        <w:rPr>
          <w:rFonts w:ascii="Arial" w:hAnsi="Arial" w:cs="Arial"/>
          <w:bCs/>
          <w:color w:val="000000"/>
          <w:sz w:val="20"/>
          <w:szCs w:val="20"/>
        </w:rPr>
        <w:t xml:space="preserve">IPPS </w:t>
      </w:r>
      <w:r w:rsidRPr="00CC3A42">
        <w:rPr>
          <w:rFonts w:ascii="Arial" w:hAnsi="Arial" w:cs="Arial"/>
          <w:bCs/>
          <w:color w:val="000000"/>
          <w:sz w:val="20"/>
          <w:szCs w:val="20"/>
        </w:rPr>
        <w:t xml:space="preserve">final rule, </w:t>
      </w:r>
      <w:r>
        <w:rPr>
          <w:rFonts w:ascii="Arial" w:hAnsi="Arial" w:cs="Arial"/>
          <w:bCs/>
          <w:color w:val="000000"/>
          <w:sz w:val="20"/>
          <w:szCs w:val="20"/>
        </w:rPr>
        <w:t xml:space="preserve">the CMS adopted a policy to cap </w:t>
      </w:r>
      <w:r w:rsidR="00EE125C">
        <w:rPr>
          <w:rFonts w:ascii="Arial" w:hAnsi="Arial" w:cs="Arial"/>
          <w:bCs/>
          <w:color w:val="000000"/>
          <w:sz w:val="20"/>
          <w:szCs w:val="20"/>
        </w:rPr>
        <w:t xml:space="preserve">at 5% </w:t>
      </w:r>
      <w:r>
        <w:rPr>
          <w:rFonts w:ascii="Arial" w:hAnsi="Arial" w:cs="Arial"/>
          <w:bCs/>
          <w:color w:val="000000"/>
          <w:sz w:val="20"/>
          <w:szCs w:val="20"/>
        </w:rPr>
        <w:t xml:space="preserve">any decrease in a hospital’s final </w:t>
      </w:r>
      <w:r w:rsidR="005D50D5">
        <w:rPr>
          <w:rFonts w:ascii="Arial" w:hAnsi="Arial" w:cs="Arial"/>
          <w:bCs/>
          <w:color w:val="000000"/>
          <w:sz w:val="20"/>
          <w:szCs w:val="20"/>
        </w:rPr>
        <w:t xml:space="preserve">FY 2021 </w:t>
      </w:r>
      <w:r>
        <w:rPr>
          <w:rFonts w:ascii="Arial" w:hAnsi="Arial" w:cs="Arial"/>
          <w:bCs/>
          <w:color w:val="000000"/>
          <w:sz w:val="20"/>
          <w:szCs w:val="20"/>
        </w:rPr>
        <w:t xml:space="preserve">wage index compared to its FY 2020 wage index. This policy was set to expire </w:t>
      </w:r>
      <w:r w:rsidR="005D50D5">
        <w:rPr>
          <w:rFonts w:ascii="Arial" w:hAnsi="Arial" w:cs="Arial"/>
          <w:bCs/>
          <w:color w:val="000000"/>
          <w:sz w:val="20"/>
          <w:szCs w:val="20"/>
        </w:rPr>
        <w:t>Sept. 30, 2021</w:t>
      </w:r>
      <w:r w:rsidR="00EB6797">
        <w:rPr>
          <w:rFonts w:ascii="Arial" w:hAnsi="Arial" w:cs="Arial"/>
          <w:bCs/>
          <w:color w:val="000000"/>
          <w:sz w:val="20"/>
          <w:szCs w:val="20"/>
        </w:rPr>
        <w:t>,</w:t>
      </w:r>
      <w:r w:rsidR="005D50D5">
        <w:rPr>
          <w:rFonts w:ascii="Arial" w:hAnsi="Arial" w:cs="Arial"/>
          <w:bCs/>
          <w:color w:val="000000"/>
          <w:sz w:val="20"/>
          <w:szCs w:val="20"/>
        </w:rPr>
        <w:t xml:space="preserve"> </w:t>
      </w:r>
      <w:r>
        <w:rPr>
          <w:rFonts w:ascii="Arial" w:hAnsi="Arial" w:cs="Arial"/>
          <w:bCs/>
          <w:color w:val="000000"/>
          <w:sz w:val="20"/>
          <w:szCs w:val="20"/>
        </w:rPr>
        <w:t xml:space="preserve">but </w:t>
      </w:r>
      <w:proofErr w:type="gramStart"/>
      <w:r>
        <w:rPr>
          <w:rFonts w:ascii="Arial" w:hAnsi="Arial" w:cs="Arial"/>
          <w:bCs/>
          <w:color w:val="000000"/>
          <w:sz w:val="20"/>
          <w:szCs w:val="20"/>
        </w:rPr>
        <w:t>in light of</w:t>
      </w:r>
      <w:proofErr w:type="gramEnd"/>
      <w:r>
        <w:rPr>
          <w:rFonts w:ascii="Arial" w:hAnsi="Arial" w:cs="Arial"/>
          <w:bCs/>
          <w:color w:val="000000"/>
          <w:sz w:val="20"/>
          <w:szCs w:val="20"/>
        </w:rPr>
        <w:t xml:space="preserve"> the public health emergency</w:t>
      </w:r>
      <w:r w:rsidR="004A6D46">
        <w:rPr>
          <w:rFonts w:ascii="Arial" w:hAnsi="Arial" w:cs="Arial"/>
          <w:bCs/>
          <w:color w:val="000000"/>
          <w:sz w:val="20"/>
          <w:szCs w:val="20"/>
        </w:rPr>
        <w:t xml:space="preserve"> (PHE)</w:t>
      </w:r>
      <w:r>
        <w:rPr>
          <w:rFonts w:ascii="Arial" w:hAnsi="Arial" w:cs="Arial"/>
          <w:bCs/>
          <w:color w:val="000000"/>
          <w:sz w:val="20"/>
          <w:szCs w:val="20"/>
        </w:rPr>
        <w:t xml:space="preserve">, the CMS seeks comments on </w:t>
      </w:r>
      <w:r w:rsidR="004A6D46">
        <w:rPr>
          <w:rFonts w:ascii="Arial" w:hAnsi="Arial" w:cs="Arial"/>
          <w:bCs/>
          <w:color w:val="000000"/>
          <w:sz w:val="20"/>
          <w:szCs w:val="20"/>
        </w:rPr>
        <w:t xml:space="preserve">continuing this policy in </w:t>
      </w:r>
      <w:r>
        <w:rPr>
          <w:rFonts w:ascii="Arial" w:hAnsi="Arial" w:cs="Arial"/>
          <w:bCs/>
          <w:color w:val="000000"/>
          <w:sz w:val="20"/>
          <w:szCs w:val="20"/>
        </w:rPr>
        <w:t>FY</w:t>
      </w:r>
      <w:r w:rsidR="00EE125C">
        <w:rPr>
          <w:rFonts w:ascii="Arial" w:hAnsi="Arial" w:cs="Arial"/>
          <w:bCs/>
          <w:color w:val="000000"/>
          <w:sz w:val="20"/>
          <w:szCs w:val="20"/>
        </w:rPr>
        <w:t xml:space="preserve"> 2022</w:t>
      </w:r>
      <w:r w:rsidR="004A6D46">
        <w:rPr>
          <w:rFonts w:ascii="Arial" w:hAnsi="Arial" w:cs="Arial"/>
          <w:bCs/>
          <w:color w:val="000000"/>
          <w:sz w:val="20"/>
          <w:szCs w:val="20"/>
        </w:rPr>
        <w:t xml:space="preserve">. </w:t>
      </w:r>
      <w:r w:rsidR="004A6D46" w:rsidRPr="004A6D46">
        <w:rPr>
          <w:rFonts w:ascii="Arial" w:hAnsi="Arial" w:cs="Arial"/>
          <w:b/>
          <w:color w:val="000000"/>
          <w:sz w:val="20"/>
          <w:szCs w:val="20"/>
        </w:rPr>
        <w:t>The</w:t>
      </w:r>
      <w:r w:rsidRPr="007333BE">
        <w:rPr>
          <w:rFonts w:ascii="Arial" w:hAnsi="Arial" w:cs="Arial"/>
          <w:b/>
          <w:color w:val="000000"/>
          <w:sz w:val="20"/>
          <w:szCs w:val="20"/>
        </w:rPr>
        <w:t xml:space="preserve"> MHA </w:t>
      </w:r>
      <w:r w:rsidR="00E70D0D">
        <w:rPr>
          <w:rFonts w:ascii="Arial" w:hAnsi="Arial" w:cs="Arial"/>
          <w:b/>
          <w:color w:val="000000"/>
          <w:sz w:val="20"/>
          <w:szCs w:val="20"/>
        </w:rPr>
        <w:t>objects to the CMS implementing this policy in a budget-neutral manner</w:t>
      </w:r>
      <w:r w:rsidR="005D50D5">
        <w:rPr>
          <w:rFonts w:ascii="Arial" w:hAnsi="Arial" w:cs="Arial"/>
          <w:b/>
          <w:color w:val="000000"/>
          <w:sz w:val="20"/>
          <w:szCs w:val="20"/>
        </w:rPr>
        <w:t xml:space="preserve"> </w:t>
      </w:r>
      <w:r w:rsidR="000D4090">
        <w:rPr>
          <w:rFonts w:ascii="Arial" w:hAnsi="Arial" w:cs="Arial"/>
          <w:b/>
          <w:color w:val="000000"/>
          <w:sz w:val="20"/>
          <w:szCs w:val="20"/>
        </w:rPr>
        <w:t>through a reduction to the standard</w:t>
      </w:r>
      <w:r w:rsidR="006D5C40">
        <w:rPr>
          <w:rFonts w:ascii="Arial" w:hAnsi="Arial" w:cs="Arial"/>
          <w:b/>
          <w:color w:val="000000"/>
          <w:sz w:val="20"/>
          <w:szCs w:val="20"/>
        </w:rPr>
        <w:t>ized</w:t>
      </w:r>
      <w:r w:rsidR="000D4090">
        <w:rPr>
          <w:rFonts w:ascii="Arial" w:hAnsi="Arial" w:cs="Arial"/>
          <w:b/>
          <w:color w:val="000000"/>
          <w:sz w:val="20"/>
          <w:szCs w:val="20"/>
        </w:rPr>
        <w:t xml:space="preserve"> operating rate </w:t>
      </w:r>
      <w:r w:rsidR="005D50D5">
        <w:rPr>
          <w:rFonts w:ascii="Arial" w:hAnsi="Arial" w:cs="Arial"/>
          <w:b/>
          <w:color w:val="000000"/>
          <w:sz w:val="20"/>
          <w:szCs w:val="20"/>
        </w:rPr>
        <w:t xml:space="preserve">which reduces payments to hospitals. We </w:t>
      </w:r>
      <w:r w:rsidR="00E70D0D">
        <w:rPr>
          <w:rFonts w:ascii="Arial" w:hAnsi="Arial" w:cs="Arial"/>
          <w:b/>
          <w:color w:val="000000"/>
          <w:sz w:val="20"/>
          <w:szCs w:val="20"/>
        </w:rPr>
        <w:t>urge</w:t>
      </w:r>
      <w:r w:rsidRPr="007333BE">
        <w:rPr>
          <w:rFonts w:ascii="Arial" w:hAnsi="Arial" w:cs="Arial"/>
          <w:b/>
          <w:color w:val="000000"/>
          <w:sz w:val="20"/>
          <w:szCs w:val="20"/>
        </w:rPr>
        <w:t xml:space="preserve"> the CMS to </w:t>
      </w:r>
      <w:r w:rsidR="00341094">
        <w:rPr>
          <w:rFonts w:ascii="Arial" w:hAnsi="Arial" w:cs="Arial"/>
          <w:b/>
          <w:color w:val="000000"/>
          <w:sz w:val="20"/>
          <w:szCs w:val="20"/>
        </w:rPr>
        <w:t>fund this policy initiative using separate and</w:t>
      </w:r>
      <w:r w:rsidRPr="007333BE">
        <w:rPr>
          <w:rFonts w:ascii="Arial" w:hAnsi="Arial" w:cs="Arial"/>
          <w:b/>
          <w:color w:val="000000"/>
          <w:sz w:val="20"/>
          <w:szCs w:val="20"/>
        </w:rPr>
        <w:t xml:space="preserve"> additional </w:t>
      </w:r>
      <w:r w:rsidR="00341094">
        <w:rPr>
          <w:rFonts w:ascii="Arial" w:hAnsi="Arial" w:cs="Arial"/>
          <w:b/>
          <w:color w:val="000000"/>
          <w:sz w:val="20"/>
          <w:szCs w:val="20"/>
        </w:rPr>
        <w:t>funds</w:t>
      </w:r>
      <w:r w:rsidR="00E70D0D">
        <w:rPr>
          <w:rFonts w:ascii="Arial" w:hAnsi="Arial" w:cs="Arial"/>
          <w:b/>
          <w:color w:val="000000"/>
          <w:sz w:val="20"/>
          <w:szCs w:val="20"/>
        </w:rPr>
        <w:t>.</w:t>
      </w:r>
      <w:r w:rsidR="00433E42">
        <w:rPr>
          <w:rFonts w:ascii="Arial" w:hAnsi="Arial" w:cs="Arial"/>
          <w:b/>
          <w:color w:val="000000"/>
          <w:sz w:val="20"/>
          <w:szCs w:val="20"/>
        </w:rPr>
        <w:t xml:space="preserve"> </w:t>
      </w:r>
    </w:p>
    <w:p w14:paraId="6C8B9E93" w14:textId="77777777" w:rsidR="00CC3A42" w:rsidRDefault="00CC3A42" w:rsidP="00EC5F06">
      <w:pPr>
        <w:autoSpaceDE w:val="0"/>
        <w:autoSpaceDN w:val="0"/>
        <w:adjustRightInd w:val="0"/>
        <w:rPr>
          <w:rFonts w:ascii="Arial" w:hAnsi="Arial" w:cs="Arial"/>
          <w:b/>
          <w:color w:val="000000"/>
          <w:sz w:val="20"/>
          <w:szCs w:val="20"/>
          <w:u w:val="single"/>
        </w:rPr>
      </w:pPr>
    </w:p>
    <w:p w14:paraId="398879C0" w14:textId="6BB4BDD6" w:rsidR="00EC5F06" w:rsidRPr="00216A78" w:rsidRDefault="007333BE" w:rsidP="00EC5F06">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L</w:t>
      </w:r>
      <w:r w:rsidR="00216A78" w:rsidRPr="00216A78">
        <w:rPr>
          <w:rFonts w:ascii="Arial" w:hAnsi="Arial" w:cs="Arial"/>
          <w:b/>
          <w:i/>
          <w:iCs/>
          <w:color w:val="000000"/>
          <w:sz w:val="20"/>
          <w:szCs w:val="20"/>
          <w:u w:val="single"/>
        </w:rPr>
        <w:t>ow Wage Areas</w:t>
      </w:r>
    </w:p>
    <w:p w14:paraId="5C078EA3" w14:textId="6AC667B5" w:rsidR="00EC5F06" w:rsidRDefault="00EC5F06" w:rsidP="00EC5F0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area wage index (AWI) is used to adjust Medicare operating and capital payments for geographic variations in labor costs. For FY 2020 and at least </w:t>
      </w:r>
      <w:r w:rsidR="00571506">
        <w:rPr>
          <w:rFonts w:ascii="Arial" w:hAnsi="Arial" w:cs="Arial"/>
          <w:color w:val="000000"/>
          <w:sz w:val="20"/>
          <w:szCs w:val="20"/>
        </w:rPr>
        <w:t>three additional</w:t>
      </w:r>
      <w:r>
        <w:rPr>
          <w:rFonts w:ascii="Arial" w:hAnsi="Arial" w:cs="Arial"/>
          <w:color w:val="000000"/>
          <w:sz w:val="20"/>
          <w:szCs w:val="20"/>
        </w:rPr>
        <w:t xml:space="preserve"> years,</w:t>
      </w:r>
      <w:r w:rsidR="00436037">
        <w:rPr>
          <w:rFonts w:ascii="Arial" w:hAnsi="Arial" w:cs="Arial"/>
          <w:color w:val="000000"/>
          <w:sz w:val="20"/>
          <w:szCs w:val="20"/>
        </w:rPr>
        <w:t xml:space="preserve"> FY 2021-2023,</w:t>
      </w:r>
      <w:r>
        <w:rPr>
          <w:rFonts w:ascii="Arial" w:hAnsi="Arial" w:cs="Arial"/>
          <w:color w:val="000000"/>
          <w:sz w:val="20"/>
          <w:szCs w:val="20"/>
        </w:rPr>
        <w:t xml:space="preserve"> t</w:t>
      </w:r>
      <w:r w:rsidRPr="006919E6">
        <w:rPr>
          <w:rFonts w:ascii="Arial" w:hAnsi="Arial" w:cs="Arial"/>
          <w:color w:val="000000"/>
          <w:sz w:val="20"/>
          <w:szCs w:val="20"/>
        </w:rPr>
        <w:t xml:space="preserve">he CMS </w:t>
      </w:r>
      <w:r>
        <w:rPr>
          <w:rFonts w:ascii="Arial" w:hAnsi="Arial" w:cs="Arial"/>
          <w:color w:val="000000"/>
          <w:sz w:val="20"/>
          <w:szCs w:val="20"/>
        </w:rPr>
        <w:t xml:space="preserve">proposes to reduce disparities in the Medicare AWI among hospitals that have a low AWI value by increasing the AWI for hospitals in the bottom quartile funded by a decrease in the </w:t>
      </w:r>
      <w:r w:rsidR="00957A0A">
        <w:rPr>
          <w:rFonts w:ascii="Arial" w:hAnsi="Arial" w:cs="Arial"/>
          <w:color w:val="000000"/>
          <w:sz w:val="20"/>
          <w:szCs w:val="20"/>
        </w:rPr>
        <w:t xml:space="preserve">national </w:t>
      </w:r>
      <w:r w:rsidR="00393801">
        <w:rPr>
          <w:rFonts w:ascii="Arial" w:hAnsi="Arial" w:cs="Arial"/>
          <w:color w:val="000000"/>
          <w:sz w:val="20"/>
          <w:szCs w:val="20"/>
        </w:rPr>
        <w:t>standard</w:t>
      </w:r>
      <w:r w:rsidR="00957A0A">
        <w:rPr>
          <w:rFonts w:ascii="Arial" w:hAnsi="Arial" w:cs="Arial"/>
          <w:color w:val="000000"/>
          <w:sz w:val="20"/>
          <w:szCs w:val="20"/>
        </w:rPr>
        <w:t>ized</w:t>
      </w:r>
      <w:r w:rsidR="00393801">
        <w:rPr>
          <w:rFonts w:ascii="Arial" w:hAnsi="Arial" w:cs="Arial"/>
          <w:color w:val="000000"/>
          <w:sz w:val="20"/>
          <w:szCs w:val="20"/>
        </w:rPr>
        <w:t xml:space="preserve"> operating rate</w:t>
      </w:r>
      <w:r>
        <w:rPr>
          <w:rFonts w:ascii="Arial" w:hAnsi="Arial" w:cs="Arial"/>
          <w:color w:val="000000"/>
          <w:sz w:val="20"/>
          <w:szCs w:val="20"/>
        </w:rPr>
        <w:t xml:space="preserve"> for </w:t>
      </w:r>
      <w:r w:rsidR="00393801">
        <w:rPr>
          <w:rFonts w:ascii="Arial" w:hAnsi="Arial" w:cs="Arial"/>
          <w:color w:val="000000"/>
          <w:sz w:val="20"/>
          <w:szCs w:val="20"/>
        </w:rPr>
        <w:t>all hospitals</w:t>
      </w:r>
      <w:r>
        <w:rPr>
          <w:rFonts w:ascii="Arial" w:hAnsi="Arial" w:cs="Arial"/>
          <w:color w:val="000000"/>
          <w:sz w:val="20"/>
          <w:szCs w:val="20"/>
        </w:rPr>
        <w:t xml:space="preserve">. The MHA appreciates the CMS’ recognition of hospitals with low wage rates. In the past this was recognized for the frontier states with an increase </w:t>
      </w:r>
      <w:r w:rsidR="00341094">
        <w:rPr>
          <w:rFonts w:ascii="Arial" w:hAnsi="Arial" w:cs="Arial"/>
          <w:color w:val="000000"/>
          <w:sz w:val="20"/>
          <w:szCs w:val="20"/>
        </w:rPr>
        <w:t xml:space="preserve">in the AWI </w:t>
      </w:r>
      <w:r>
        <w:rPr>
          <w:rFonts w:ascii="Arial" w:hAnsi="Arial" w:cs="Arial"/>
          <w:color w:val="000000"/>
          <w:sz w:val="20"/>
          <w:szCs w:val="20"/>
        </w:rPr>
        <w:t xml:space="preserve">to 1.0 and funded by new funds. We believe that the CMS could implement a similar solution for low wage hospitals </w:t>
      </w:r>
      <w:r w:rsidR="006D4D2B">
        <w:rPr>
          <w:rFonts w:ascii="Arial" w:hAnsi="Arial" w:cs="Arial"/>
          <w:color w:val="000000"/>
          <w:sz w:val="20"/>
          <w:szCs w:val="20"/>
        </w:rPr>
        <w:t xml:space="preserve">funded by additional </w:t>
      </w:r>
      <w:r w:rsidR="00341094">
        <w:rPr>
          <w:rFonts w:ascii="Arial" w:hAnsi="Arial" w:cs="Arial"/>
          <w:color w:val="000000"/>
          <w:sz w:val="20"/>
          <w:szCs w:val="20"/>
        </w:rPr>
        <w:t>funds</w:t>
      </w:r>
      <w:r w:rsidR="006D4D2B">
        <w:rPr>
          <w:rFonts w:ascii="Arial" w:hAnsi="Arial" w:cs="Arial"/>
          <w:color w:val="000000"/>
          <w:sz w:val="20"/>
          <w:szCs w:val="20"/>
        </w:rPr>
        <w:t>.</w:t>
      </w:r>
      <w:r>
        <w:rPr>
          <w:rFonts w:ascii="Arial" w:hAnsi="Arial" w:cs="Arial"/>
          <w:color w:val="000000"/>
          <w:sz w:val="20"/>
          <w:szCs w:val="20"/>
        </w:rPr>
        <w:t xml:space="preserve"> </w:t>
      </w:r>
    </w:p>
    <w:p w14:paraId="28F7EDC4" w14:textId="77777777" w:rsidR="00EC5F06" w:rsidRDefault="00EC5F06" w:rsidP="00EC5F06">
      <w:pPr>
        <w:autoSpaceDE w:val="0"/>
        <w:autoSpaceDN w:val="0"/>
        <w:adjustRightInd w:val="0"/>
        <w:rPr>
          <w:rFonts w:ascii="Arial" w:hAnsi="Arial" w:cs="Arial"/>
          <w:color w:val="000000"/>
          <w:sz w:val="20"/>
          <w:szCs w:val="20"/>
        </w:rPr>
      </w:pPr>
    </w:p>
    <w:p w14:paraId="4A6936EB" w14:textId="6DA7B2A9" w:rsidR="00EC5F06" w:rsidRDefault="00341094" w:rsidP="00EC5F06">
      <w:pPr>
        <w:autoSpaceDE w:val="0"/>
        <w:autoSpaceDN w:val="0"/>
        <w:adjustRightInd w:val="0"/>
        <w:rPr>
          <w:rFonts w:ascii="Arial" w:hAnsi="Arial" w:cs="Arial"/>
          <w:color w:val="000000"/>
          <w:sz w:val="20"/>
          <w:szCs w:val="20"/>
        </w:rPr>
      </w:pPr>
      <w:r w:rsidRPr="00341094">
        <w:rPr>
          <w:rFonts w:ascii="Arial" w:hAnsi="Arial" w:cs="Arial"/>
          <w:b/>
          <w:bCs/>
          <w:color w:val="000000"/>
          <w:sz w:val="20"/>
          <w:szCs w:val="20"/>
        </w:rPr>
        <w:t>T</w:t>
      </w:r>
      <w:r w:rsidR="005F6EA4" w:rsidRPr="00341094">
        <w:rPr>
          <w:rFonts w:ascii="Arial" w:hAnsi="Arial" w:cs="Arial"/>
          <w:b/>
          <w:bCs/>
          <w:color w:val="000000"/>
          <w:sz w:val="20"/>
          <w:szCs w:val="20"/>
        </w:rPr>
        <w:t>he MHA ardently supports improving the wage index for hospitals with low wage rates, especially in our rural areas</w:t>
      </w:r>
      <w:r w:rsidRPr="00341094">
        <w:rPr>
          <w:rFonts w:ascii="Arial" w:hAnsi="Arial" w:cs="Arial"/>
          <w:b/>
          <w:bCs/>
          <w:color w:val="000000"/>
          <w:sz w:val="20"/>
          <w:szCs w:val="20"/>
        </w:rPr>
        <w:t>.</w:t>
      </w:r>
      <w:r>
        <w:rPr>
          <w:rFonts w:ascii="Arial" w:hAnsi="Arial" w:cs="Arial"/>
          <w:color w:val="000000"/>
          <w:sz w:val="20"/>
          <w:szCs w:val="20"/>
        </w:rPr>
        <w:t xml:space="preserve"> </w:t>
      </w:r>
      <w:r w:rsidRPr="00341094">
        <w:rPr>
          <w:rFonts w:ascii="Arial" w:hAnsi="Arial" w:cs="Arial"/>
          <w:b/>
          <w:bCs/>
          <w:color w:val="000000"/>
          <w:sz w:val="20"/>
          <w:szCs w:val="20"/>
        </w:rPr>
        <w:t>T</w:t>
      </w:r>
      <w:r w:rsidR="00EC5F06" w:rsidRPr="00297F8D">
        <w:rPr>
          <w:rFonts w:ascii="Arial" w:hAnsi="Arial" w:cs="Arial"/>
          <w:b/>
          <w:color w:val="000000"/>
          <w:sz w:val="20"/>
          <w:szCs w:val="20"/>
        </w:rPr>
        <w:t xml:space="preserve">he MHA opposes the CMS’ proposed improvement of AWI values for some hospitals funded by a </w:t>
      </w:r>
      <w:r w:rsidR="00393801">
        <w:rPr>
          <w:rFonts w:ascii="Arial" w:hAnsi="Arial" w:cs="Arial"/>
          <w:b/>
          <w:color w:val="000000"/>
          <w:sz w:val="20"/>
          <w:szCs w:val="20"/>
        </w:rPr>
        <w:t>reduction to the standard</w:t>
      </w:r>
      <w:r w:rsidR="00957A0A">
        <w:rPr>
          <w:rFonts w:ascii="Arial" w:hAnsi="Arial" w:cs="Arial"/>
          <w:b/>
          <w:color w:val="000000"/>
          <w:sz w:val="20"/>
          <w:szCs w:val="20"/>
        </w:rPr>
        <w:t>ized</w:t>
      </w:r>
      <w:r w:rsidR="00393801">
        <w:rPr>
          <w:rFonts w:ascii="Arial" w:hAnsi="Arial" w:cs="Arial"/>
          <w:b/>
          <w:color w:val="000000"/>
          <w:sz w:val="20"/>
          <w:szCs w:val="20"/>
        </w:rPr>
        <w:t xml:space="preserve"> operating rate for all </w:t>
      </w:r>
      <w:r w:rsidR="00EC5F06" w:rsidRPr="00297F8D">
        <w:rPr>
          <w:rFonts w:ascii="Arial" w:hAnsi="Arial" w:cs="Arial"/>
          <w:b/>
          <w:color w:val="000000"/>
          <w:sz w:val="20"/>
          <w:szCs w:val="20"/>
        </w:rPr>
        <w:t>hospitals</w:t>
      </w:r>
      <w:r w:rsidR="000E1832">
        <w:rPr>
          <w:rFonts w:ascii="Arial" w:hAnsi="Arial" w:cs="Arial"/>
          <w:b/>
          <w:color w:val="000000"/>
          <w:sz w:val="20"/>
          <w:szCs w:val="20"/>
        </w:rPr>
        <w:t>,</w:t>
      </w:r>
      <w:r w:rsidR="00EC5F06" w:rsidRPr="00297F8D">
        <w:rPr>
          <w:rFonts w:ascii="Arial" w:hAnsi="Arial" w:cs="Arial"/>
          <w:b/>
          <w:color w:val="000000"/>
          <w:sz w:val="20"/>
          <w:szCs w:val="20"/>
        </w:rPr>
        <w:t xml:space="preserve"> especially when Medicare pays less than the cost of providing care.</w:t>
      </w:r>
      <w:r w:rsidR="00EC5F06">
        <w:rPr>
          <w:rFonts w:ascii="Arial" w:hAnsi="Arial" w:cs="Arial"/>
          <w:color w:val="000000"/>
          <w:sz w:val="20"/>
          <w:szCs w:val="20"/>
        </w:rPr>
        <w:t xml:space="preserve"> </w:t>
      </w:r>
    </w:p>
    <w:p w14:paraId="6700000D" w14:textId="77777777" w:rsidR="00C74AAC" w:rsidRPr="001F5ADA" w:rsidRDefault="00C74AAC" w:rsidP="005527F9">
      <w:pPr>
        <w:autoSpaceDE w:val="0"/>
        <w:autoSpaceDN w:val="0"/>
        <w:adjustRightInd w:val="0"/>
        <w:rPr>
          <w:rFonts w:ascii="Arial" w:hAnsi="Arial" w:cs="Arial"/>
          <w:b/>
          <w:color w:val="000000"/>
          <w:sz w:val="20"/>
          <w:szCs w:val="20"/>
          <w:u w:val="single"/>
        </w:rPr>
      </w:pPr>
    </w:p>
    <w:p w14:paraId="562CA3D1" w14:textId="548BE860" w:rsidR="005527F9" w:rsidRPr="005A7823" w:rsidRDefault="005527F9" w:rsidP="005527F9">
      <w:pPr>
        <w:autoSpaceDE w:val="0"/>
        <w:autoSpaceDN w:val="0"/>
        <w:adjustRightInd w:val="0"/>
        <w:rPr>
          <w:rFonts w:ascii="Arial" w:hAnsi="Arial" w:cs="Arial"/>
          <w:b/>
          <w:color w:val="000000"/>
          <w:sz w:val="20"/>
          <w:szCs w:val="20"/>
          <w:u w:val="single"/>
        </w:rPr>
      </w:pPr>
      <w:r w:rsidRPr="005A7823">
        <w:rPr>
          <w:rFonts w:ascii="Arial" w:hAnsi="Arial" w:cs="Arial"/>
          <w:b/>
          <w:color w:val="000000"/>
          <w:sz w:val="20"/>
          <w:szCs w:val="20"/>
          <w:highlight w:val="lightGray"/>
          <w:u w:val="single"/>
        </w:rPr>
        <w:t>UNCOMPENSATED CARE</w:t>
      </w:r>
      <w:r w:rsidR="007A5004" w:rsidRPr="005A7823">
        <w:rPr>
          <w:rFonts w:ascii="Arial" w:hAnsi="Arial" w:cs="Arial"/>
          <w:b/>
          <w:color w:val="000000"/>
          <w:sz w:val="20"/>
          <w:szCs w:val="20"/>
          <w:highlight w:val="lightGray"/>
          <w:u w:val="single"/>
        </w:rPr>
        <w:t xml:space="preserve"> (UCC) </w:t>
      </w:r>
      <w:r w:rsidRPr="005A7823">
        <w:rPr>
          <w:rFonts w:ascii="Arial" w:hAnsi="Arial" w:cs="Arial"/>
          <w:b/>
          <w:color w:val="000000"/>
          <w:sz w:val="20"/>
          <w:szCs w:val="20"/>
          <w:highlight w:val="lightGray"/>
          <w:u w:val="single"/>
        </w:rPr>
        <w:t>POOL PAYMENTS</w:t>
      </w:r>
    </w:p>
    <w:p w14:paraId="09955A60" w14:textId="77777777" w:rsidR="005527F9" w:rsidRPr="001F5ADA" w:rsidRDefault="005527F9" w:rsidP="005527F9">
      <w:pPr>
        <w:autoSpaceDE w:val="0"/>
        <w:autoSpaceDN w:val="0"/>
        <w:adjustRightInd w:val="0"/>
        <w:rPr>
          <w:rFonts w:ascii="Arial" w:hAnsi="Arial" w:cs="Arial"/>
          <w:color w:val="000000"/>
          <w:sz w:val="20"/>
          <w:szCs w:val="20"/>
        </w:rPr>
      </w:pPr>
    </w:p>
    <w:p w14:paraId="22470034" w14:textId="32F80163" w:rsidR="00201784" w:rsidRDefault="005D0EE5" w:rsidP="004A1973">
      <w:pPr>
        <w:rPr>
          <w:rFonts w:ascii="Arial" w:hAnsi="Arial" w:cs="Arial"/>
          <w:bCs/>
          <w:iCs/>
          <w:sz w:val="20"/>
          <w:szCs w:val="20"/>
        </w:rPr>
      </w:pPr>
      <w:r>
        <w:rPr>
          <w:rFonts w:ascii="Arial" w:hAnsi="Arial" w:cs="Arial"/>
          <w:bCs/>
          <w:iCs/>
          <w:sz w:val="20"/>
          <w:szCs w:val="20"/>
        </w:rPr>
        <w:t xml:space="preserve">Medicare makes disproportionate share hospital (DSH) and uncompensated care (UCC) payments to </w:t>
      </w:r>
      <w:r w:rsidR="00754497">
        <w:rPr>
          <w:rFonts w:ascii="Arial" w:hAnsi="Arial" w:cs="Arial"/>
          <w:bCs/>
          <w:iCs/>
          <w:sz w:val="20"/>
          <w:szCs w:val="20"/>
        </w:rPr>
        <w:t>IPPS hospitals that serve more than a certain percentage of low-income patients, defined as Medicare eligible patients who also receive supplemental security income (SSI) and Medicaid</w:t>
      </w:r>
      <w:r w:rsidR="00FE399F">
        <w:rPr>
          <w:rFonts w:ascii="Arial" w:hAnsi="Arial" w:cs="Arial"/>
          <w:bCs/>
          <w:iCs/>
          <w:sz w:val="20"/>
          <w:szCs w:val="20"/>
        </w:rPr>
        <w:t>-eligible</w:t>
      </w:r>
      <w:r w:rsidR="00754497">
        <w:rPr>
          <w:rFonts w:ascii="Arial" w:hAnsi="Arial" w:cs="Arial"/>
          <w:bCs/>
          <w:iCs/>
          <w:sz w:val="20"/>
          <w:szCs w:val="20"/>
        </w:rPr>
        <w:t xml:space="preserve"> patients who are not eligible for Medicare. </w:t>
      </w:r>
    </w:p>
    <w:p w14:paraId="566EEF3A" w14:textId="77777777" w:rsidR="00201784" w:rsidRDefault="00201784" w:rsidP="004A1973">
      <w:pPr>
        <w:rPr>
          <w:rFonts w:ascii="Arial" w:hAnsi="Arial" w:cs="Arial"/>
          <w:bCs/>
          <w:iCs/>
          <w:sz w:val="20"/>
          <w:szCs w:val="20"/>
        </w:rPr>
      </w:pPr>
    </w:p>
    <w:p w14:paraId="50144A17" w14:textId="1B97363F" w:rsidR="006A027A" w:rsidRPr="006A027A" w:rsidRDefault="000D6956" w:rsidP="004A1973">
      <w:pPr>
        <w:rPr>
          <w:rFonts w:ascii="Arial" w:hAnsi="Arial" w:cs="Arial"/>
          <w:bCs/>
          <w:iCs/>
          <w:sz w:val="20"/>
          <w:szCs w:val="20"/>
        </w:rPr>
      </w:pPr>
      <w:r>
        <w:rPr>
          <w:rFonts w:ascii="Arial" w:hAnsi="Arial" w:cs="Arial"/>
          <w:bCs/>
          <w:iCs/>
          <w:sz w:val="20"/>
          <w:szCs w:val="20"/>
        </w:rPr>
        <w:t>T</w:t>
      </w:r>
      <w:r w:rsidR="006A027A">
        <w:rPr>
          <w:rFonts w:ascii="Arial" w:hAnsi="Arial" w:cs="Arial"/>
          <w:bCs/>
          <w:iCs/>
          <w:sz w:val="20"/>
          <w:szCs w:val="20"/>
        </w:rPr>
        <w:t>he CMS projects total DSH payments</w:t>
      </w:r>
      <w:r>
        <w:rPr>
          <w:rFonts w:ascii="Arial" w:hAnsi="Arial" w:cs="Arial"/>
          <w:bCs/>
          <w:iCs/>
          <w:sz w:val="20"/>
          <w:szCs w:val="20"/>
        </w:rPr>
        <w:t xml:space="preserve"> annually</w:t>
      </w:r>
      <w:r w:rsidR="006A027A">
        <w:rPr>
          <w:rFonts w:ascii="Arial" w:hAnsi="Arial" w:cs="Arial"/>
          <w:bCs/>
          <w:iCs/>
          <w:sz w:val="20"/>
          <w:szCs w:val="20"/>
        </w:rPr>
        <w:t>, with 25% of funds distributed using the traditional method</w:t>
      </w:r>
      <w:r w:rsidR="00201784">
        <w:rPr>
          <w:rFonts w:ascii="Arial" w:hAnsi="Arial" w:cs="Arial"/>
          <w:bCs/>
          <w:iCs/>
          <w:sz w:val="20"/>
          <w:szCs w:val="20"/>
        </w:rPr>
        <w:t xml:space="preserve"> (inpatient days for SSI and Medicaid patients as a % of total inpatient days) </w:t>
      </w:r>
      <w:r w:rsidR="006A027A">
        <w:rPr>
          <w:rFonts w:ascii="Arial" w:hAnsi="Arial" w:cs="Arial"/>
          <w:bCs/>
          <w:iCs/>
          <w:sz w:val="20"/>
          <w:szCs w:val="20"/>
        </w:rPr>
        <w:t xml:space="preserve">and 75% dedicated to the UCC pool, known as Factor 1. The CMS then reduces the UCC pool based on the </w:t>
      </w:r>
      <w:r w:rsidR="00201784">
        <w:rPr>
          <w:rFonts w:ascii="Arial" w:hAnsi="Arial" w:cs="Arial"/>
          <w:bCs/>
          <w:iCs/>
          <w:sz w:val="20"/>
          <w:szCs w:val="20"/>
        </w:rPr>
        <w:t xml:space="preserve">percentage of the population insured in </w:t>
      </w:r>
      <w:r w:rsidR="00131DD3">
        <w:rPr>
          <w:rFonts w:ascii="Arial" w:hAnsi="Arial" w:cs="Arial"/>
          <w:bCs/>
          <w:iCs/>
          <w:sz w:val="20"/>
          <w:szCs w:val="20"/>
        </w:rPr>
        <w:t xml:space="preserve">2013, the </w:t>
      </w:r>
      <w:r w:rsidR="00201784">
        <w:rPr>
          <w:rFonts w:ascii="Arial" w:hAnsi="Arial" w:cs="Arial"/>
          <w:bCs/>
          <w:iCs/>
          <w:sz w:val="20"/>
          <w:szCs w:val="20"/>
        </w:rPr>
        <w:t>base year prior to implementation of the Affordable Care Act (ACA), Fac</w:t>
      </w:r>
      <w:r w:rsidR="006A027A">
        <w:rPr>
          <w:rFonts w:ascii="Arial" w:hAnsi="Arial" w:cs="Arial"/>
          <w:bCs/>
          <w:iCs/>
          <w:sz w:val="20"/>
          <w:szCs w:val="20"/>
        </w:rPr>
        <w:t xml:space="preserve">tor 2. The CMS </w:t>
      </w:r>
      <w:r w:rsidR="0050735A">
        <w:rPr>
          <w:rFonts w:ascii="Arial" w:hAnsi="Arial" w:cs="Arial"/>
          <w:bCs/>
          <w:iCs/>
          <w:sz w:val="20"/>
          <w:szCs w:val="20"/>
        </w:rPr>
        <w:t xml:space="preserve">then </w:t>
      </w:r>
      <w:r w:rsidR="006A027A">
        <w:rPr>
          <w:rFonts w:ascii="Arial" w:hAnsi="Arial" w:cs="Arial"/>
          <w:bCs/>
          <w:iCs/>
          <w:sz w:val="20"/>
          <w:szCs w:val="20"/>
        </w:rPr>
        <w:t xml:space="preserve">distributes the UCC pool based on </w:t>
      </w:r>
      <w:r w:rsidR="00201784">
        <w:rPr>
          <w:rFonts w:ascii="Arial" w:hAnsi="Arial" w:cs="Arial"/>
          <w:bCs/>
          <w:iCs/>
          <w:sz w:val="20"/>
          <w:szCs w:val="20"/>
        </w:rPr>
        <w:t xml:space="preserve">each hospital’s UCC costs for a given </w:t>
      </w:r>
      <w:proofErr w:type="gramStart"/>
      <w:r w:rsidR="00201784">
        <w:rPr>
          <w:rFonts w:ascii="Arial" w:hAnsi="Arial" w:cs="Arial"/>
          <w:bCs/>
          <w:iCs/>
          <w:sz w:val="20"/>
          <w:szCs w:val="20"/>
        </w:rPr>
        <w:t>time period</w:t>
      </w:r>
      <w:proofErr w:type="gramEnd"/>
      <w:r w:rsidR="00201784">
        <w:rPr>
          <w:rFonts w:ascii="Arial" w:hAnsi="Arial" w:cs="Arial"/>
          <w:bCs/>
          <w:iCs/>
          <w:sz w:val="20"/>
          <w:szCs w:val="20"/>
        </w:rPr>
        <w:t xml:space="preserve"> relative to that of all DSH eligible hospitals</w:t>
      </w:r>
      <w:r w:rsidR="00FE399F">
        <w:rPr>
          <w:rFonts w:ascii="Arial" w:hAnsi="Arial" w:cs="Arial"/>
          <w:bCs/>
          <w:iCs/>
          <w:sz w:val="20"/>
          <w:szCs w:val="20"/>
        </w:rPr>
        <w:t>, Factor 3</w:t>
      </w:r>
      <w:r w:rsidR="00201784">
        <w:rPr>
          <w:rFonts w:ascii="Arial" w:hAnsi="Arial" w:cs="Arial"/>
          <w:bCs/>
          <w:iCs/>
          <w:sz w:val="20"/>
          <w:szCs w:val="20"/>
        </w:rPr>
        <w:t xml:space="preserve">. </w:t>
      </w:r>
      <w:r w:rsidR="006A027A">
        <w:rPr>
          <w:rFonts w:ascii="Arial" w:hAnsi="Arial" w:cs="Arial"/>
          <w:bCs/>
          <w:iCs/>
          <w:sz w:val="20"/>
          <w:szCs w:val="20"/>
        </w:rPr>
        <w:t xml:space="preserve">  </w:t>
      </w:r>
    </w:p>
    <w:p w14:paraId="6C9B7D0A" w14:textId="77777777" w:rsidR="006A027A" w:rsidRDefault="006A027A" w:rsidP="004A1973">
      <w:pPr>
        <w:rPr>
          <w:rFonts w:ascii="Arial" w:hAnsi="Arial" w:cs="Arial"/>
          <w:b/>
          <w:iCs/>
          <w:sz w:val="20"/>
          <w:szCs w:val="20"/>
          <w:u w:val="single"/>
        </w:rPr>
      </w:pPr>
    </w:p>
    <w:p w14:paraId="53BDB971" w14:textId="356B334A" w:rsidR="004A1973" w:rsidRPr="00216A78" w:rsidRDefault="004A1973"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Calculation of FY 202</w:t>
      </w:r>
      <w:r w:rsidR="00436037" w:rsidRPr="00216A78">
        <w:rPr>
          <w:rFonts w:ascii="Arial" w:hAnsi="Arial" w:cs="Arial"/>
          <w:b/>
          <w:i/>
          <w:iCs/>
          <w:color w:val="000000"/>
          <w:sz w:val="20"/>
          <w:szCs w:val="20"/>
          <w:u w:val="single"/>
        </w:rPr>
        <w:t>2</w:t>
      </w:r>
      <w:r w:rsidRPr="00216A78">
        <w:rPr>
          <w:rFonts w:ascii="Arial" w:hAnsi="Arial" w:cs="Arial"/>
          <w:b/>
          <w:i/>
          <w:iCs/>
          <w:color w:val="000000"/>
          <w:sz w:val="20"/>
          <w:szCs w:val="20"/>
          <w:u w:val="single"/>
        </w:rPr>
        <w:t xml:space="preserve"> UCC Factor 2</w:t>
      </w:r>
    </w:p>
    <w:p w14:paraId="04B82889" w14:textId="71C73423" w:rsidR="004A1973" w:rsidRPr="00FE399F" w:rsidRDefault="004A1973" w:rsidP="004A1973">
      <w:pPr>
        <w:rPr>
          <w:rFonts w:ascii="Arial" w:hAnsi="Arial" w:cs="Arial"/>
          <w:b/>
          <w:iCs/>
          <w:sz w:val="20"/>
          <w:szCs w:val="20"/>
        </w:rPr>
      </w:pPr>
      <w:r w:rsidRPr="001F5ADA">
        <w:rPr>
          <w:rFonts w:ascii="Arial" w:hAnsi="Arial" w:cs="Arial"/>
          <w:bCs/>
          <w:iCs/>
          <w:sz w:val="20"/>
          <w:szCs w:val="20"/>
        </w:rPr>
        <w:t>Factor 2 adjust</w:t>
      </w:r>
      <w:r w:rsidR="00FE399F">
        <w:rPr>
          <w:rFonts w:ascii="Arial" w:hAnsi="Arial" w:cs="Arial"/>
          <w:bCs/>
          <w:iCs/>
          <w:sz w:val="20"/>
          <w:szCs w:val="20"/>
        </w:rPr>
        <w:t>s</w:t>
      </w:r>
      <w:r w:rsidRPr="001F5ADA">
        <w:rPr>
          <w:rFonts w:ascii="Arial" w:hAnsi="Arial" w:cs="Arial"/>
          <w:bCs/>
          <w:iCs/>
          <w:sz w:val="20"/>
          <w:szCs w:val="20"/>
        </w:rPr>
        <w:t xml:space="preserve"> </w:t>
      </w:r>
      <w:r w:rsidR="005D0EE5">
        <w:rPr>
          <w:rFonts w:ascii="Arial" w:hAnsi="Arial" w:cs="Arial"/>
          <w:bCs/>
          <w:iCs/>
          <w:sz w:val="20"/>
          <w:szCs w:val="20"/>
        </w:rPr>
        <w:t>the amount of the UCC pool</w:t>
      </w:r>
      <w:r w:rsidRPr="001F5ADA">
        <w:rPr>
          <w:rFonts w:ascii="Arial" w:hAnsi="Arial" w:cs="Arial"/>
          <w:bCs/>
          <w:iCs/>
          <w:sz w:val="20"/>
          <w:szCs w:val="20"/>
        </w:rPr>
        <w:t xml:space="preserve"> </w:t>
      </w:r>
      <w:r w:rsidR="002C5E6E">
        <w:rPr>
          <w:rFonts w:ascii="Arial" w:hAnsi="Arial" w:cs="Arial"/>
          <w:bCs/>
          <w:iCs/>
          <w:sz w:val="20"/>
          <w:szCs w:val="20"/>
        </w:rPr>
        <w:t xml:space="preserve">annually </w:t>
      </w:r>
      <w:r w:rsidRPr="001F5ADA">
        <w:rPr>
          <w:rFonts w:ascii="Arial" w:hAnsi="Arial" w:cs="Arial"/>
          <w:bCs/>
          <w:iCs/>
          <w:sz w:val="20"/>
          <w:szCs w:val="20"/>
        </w:rPr>
        <w:t xml:space="preserve">based on the change in </w:t>
      </w:r>
      <w:r w:rsidR="005D0EE5">
        <w:rPr>
          <w:rFonts w:ascii="Arial" w:hAnsi="Arial" w:cs="Arial"/>
          <w:bCs/>
          <w:iCs/>
          <w:sz w:val="20"/>
          <w:szCs w:val="20"/>
        </w:rPr>
        <w:t xml:space="preserve">the number of </w:t>
      </w:r>
      <w:r w:rsidRPr="001F5ADA">
        <w:rPr>
          <w:rFonts w:ascii="Arial" w:hAnsi="Arial" w:cs="Arial"/>
          <w:bCs/>
          <w:iCs/>
          <w:sz w:val="20"/>
          <w:szCs w:val="20"/>
        </w:rPr>
        <w:t>uninsured</w:t>
      </w:r>
      <w:r w:rsidR="005D0EE5">
        <w:rPr>
          <w:rFonts w:ascii="Arial" w:hAnsi="Arial" w:cs="Arial"/>
          <w:bCs/>
          <w:iCs/>
          <w:sz w:val="20"/>
          <w:szCs w:val="20"/>
        </w:rPr>
        <w:t xml:space="preserve"> individuals</w:t>
      </w:r>
      <w:r w:rsidRPr="001F5ADA">
        <w:rPr>
          <w:rFonts w:ascii="Arial" w:hAnsi="Arial" w:cs="Arial"/>
          <w:bCs/>
          <w:iCs/>
          <w:sz w:val="20"/>
          <w:szCs w:val="20"/>
        </w:rPr>
        <w:t xml:space="preserve"> </w:t>
      </w:r>
      <w:r w:rsidR="002C5E6E">
        <w:rPr>
          <w:rFonts w:ascii="Arial" w:hAnsi="Arial" w:cs="Arial"/>
          <w:bCs/>
          <w:iCs/>
          <w:sz w:val="20"/>
          <w:szCs w:val="20"/>
        </w:rPr>
        <w:t>by comparing the latest estimates to the 2013 uninsured rate of 14%.</w:t>
      </w:r>
      <w:r w:rsidRPr="001F5ADA">
        <w:rPr>
          <w:rFonts w:ascii="Arial" w:hAnsi="Arial" w:cs="Arial"/>
          <w:bCs/>
          <w:iCs/>
          <w:sz w:val="20"/>
          <w:szCs w:val="20"/>
        </w:rPr>
        <w:t xml:space="preserve"> </w:t>
      </w:r>
      <w:r w:rsidR="00FE399F">
        <w:rPr>
          <w:rFonts w:ascii="Arial" w:hAnsi="Arial" w:cs="Arial"/>
          <w:bCs/>
          <w:iCs/>
          <w:sz w:val="20"/>
          <w:szCs w:val="20"/>
        </w:rPr>
        <w:t xml:space="preserve">The CMS claims that the impact of the </w:t>
      </w:r>
      <w:r w:rsidRPr="001F5ADA">
        <w:rPr>
          <w:rFonts w:ascii="Arial" w:hAnsi="Arial" w:cs="Arial"/>
          <w:bCs/>
          <w:iCs/>
          <w:sz w:val="20"/>
          <w:szCs w:val="20"/>
        </w:rPr>
        <w:t>COVID-19 pandemic</w:t>
      </w:r>
      <w:r w:rsidR="005A5123">
        <w:rPr>
          <w:rFonts w:ascii="Arial" w:hAnsi="Arial" w:cs="Arial"/>
          <w:bCs/>
          <w:iCs/>
          <w:sz w:val="20"/>
          <w:szCs w:val="20"/>
        </w:rPr>
        <w:t xml:space="preserve"> </w:t>
      </w:r>
      <w:r w:rsidR="00FE399F">
        <w:rPr>
          <w:rFonts w:ascii="Arial" w:hAnsi="Arial" w:cs="Arial"/>
          <w:bCs/>
          <w:iCs/>
          <w:sz w:val="20"/>
          <w:szCs w:val="20"/>
        </w:rPr>
        <w:t xml:space="preserve">was </w:t>
      </w:r>
      <w:proofErr w:type="gramStart"/>
      <w:r w:rsidR="00FE399F">
        <w:rPr>
          <w:rFonts w:ascii="Arial" w:hAnsi="Arial" w:cs="Arial"/>
          <w:bCs/>
          <w:iCs/>
          <w:sz w:val="20"/>
          <w:szCs w:val="20"/>
        </w:rPr>
        <w:t>taken into account</w:t>
      </w:r>
      <w:proofErr w:type="gramEnd"/>
      <w:r w:rsidR="00FE399F">
        <w:rPr>
          <w:rFonts w:ascii="Arial" w:hAnsi="Arial" w:cs="Arial"/>
          <w:bCs/>
          <w:iCs/>
          <w:sz w:val="20"/>
          <w:szCs w:val="20"/>
        </w:rPr>
        <w:t xml:space="preserve"> in </w:t>
      </w:r>
      <w:r w:rsidR="002C5E6E">
        <w:rPr>
          <w:rFonts w:ascii="Arial" w:hAnsi="Arial" w:cs="Arial"/>
          <w:bCs/>
          <w:iCs/>
          <w:sz w:val="20"/>
          <w:szCs w:val="20"/>
        </w:rPr>
        <w:t xml:space="preserve">the data used to </w:t>
      </w:r>
      <w:r w:rsidR="00FE399F">
        <w:rPr>
          <w:rFonts w:ascii="Arial" w:hAnsi="Arial" w:cs="Arial"/>
          <w:bCs/>
          <w:iCs/>
          <w:sz w:val="20"/>
          <w:szCs w:val="20"/>
        </w:rPr>
        <w:t>calculat</w:t>
      </w:r>
      <w:r w:rsidR="002C5E6E">
        <w:rPr>
          <w:rFonts w:ascii="Arial" w:hAnsi="Arial" w:cs="Arial"/>
          <w:bCs/>
          <w:iCs/>
          <w:sz w:val="20"/>
          <w:szCs w:val="20"/>
        </w:rPr>
        <w:t>e</w:t>
      </w:r>
      <w:r w:rsidR="00FE399F">
        <w:rPr>
          <w:rFonts w:ascii="Arial" w:hAnsi="Arial" w:cs="Arial"/>
          <w:bCs/>
          <w:iCs/>
          <w:sz w:val="20"/>
          <w:szCs w:val="20"/>
        </w:rPr>
        <w:t xml:space="preserve"> the latest percentage of uninsured individuals. The CMS determined a </w:t>
      </w:r>
      <w:r w:rsidR="00F06663">
        <w:rPr>
          <w:rFonts w:ascii="Arial" w:hAnsi="Arial" w:cs="Arial"/>
          <w:bCs/>
          <w:iCs/>
          <w:sz w:val="20"/>
          <w:szCs w:val="20"/>
        </w:rPr>
        <w:t xml:space="preserve">10.1% uninsured rate for FY 2022 based on the statutorily mandated formula resulting in the estimated uninsured population to be 72.14% of the </w:t>
      </w:r>
      <w:r w:rsidR="002C5E6E">
        <w:rPr>
          <w:rFonts w:ascii="Arial" w:hAnsi="Arial" w:cs="Arial"/>
          <w:bCs/>
          <w:iCs/>
          <w:sz w:val="20"/>
          <w:szCs w:val="20"/>
        </w:rPr>
        <w:t xml:space="preserve">2013 baseline </w:t>
      </w:r>
      <w:r w:rsidR="00131DD3">
        <w:rPr>
          <w:rFonts w:ascii="Arial" w:hAnsi="Arial" w:cs="Arial"/>
          <w:bCs/>
          <w:iCs/>
          <w:sz w:val="20"/>
          <w:szCs w:val="20"/>
        </w:rPr>
        <w:t xml:space="preserve">uninsured </w:t>
      </w:r>
      <w:r w:rsidR="002C5E6E">
        <w:rPr>
          <w:rFonts w:ascii="Arial" w:hAnsi="Arial" w:cs="Arial"/>
          <w:bCs/>
          <w:iCs/>
          <w:sz w:val="20"/>
          <w:szCs w:val="20"/>
        </w:rPr>
        <w:t>population</w:t>
      </w:r>
      <w:r w:rsidR="00F06663">
        <w:rPr>
          <w:rFonts w:ascii="Arial" w:hAnsi="Arial" w:cs="Arial"/>
          <w:bCs/>
          <w:iCs/>
          <w:sz w:val="20"/>
          <w:szCs w:val="20"/>
        </w:rPr>
        <w:t>. This results</w:t>
      </w:r>
      <w:r w:rsidR="00FE399F">
        <w:rPr>
          <w:rFonts w:ascii="Arial" w:hAnsi="Arial" w:cs="Arial"/>
          <w:bCs/>
          <w:iCs/>
          <w:sz w:val="20"/>
          <w:szCs w:val="20"/>
        </w:rPr>
        <w:t xml:space="preserve"> in a decrease of $600 million in the FY 2022 UCC pool compared to FY 2021.  </w:t>
      </w:r>
      <w:r w:rsidR="00FE399F" w:rsidRPr="00FE399F">
        <w:rPr>
          <w:rFonts w:ascii="Arial" w:hAnsi="Arial" w:cs="Arial"/>
          <w:b/>
          <w:iCs/>
          <w:sz w:val="20"/>
          <w:szCs w:val="20"/>
        </w:rPr>
        <w:t xml:space="preserve">The MHA urges the CMS to maintain the UCC pool at the current level due to the PHE. </w:t>
      </w:r>
    </w:p>
    <w:p w14:paraId="06F180B5" w14:textId="79E34537" w:rsidR="004A1973" w:rsidRPr="001F5ADA" w:rsidRDefault="004A1973" w:rsidP="004A1973">
      <w:pPr>
        <w:rPr>
          <w:rFonts w:ascii="Arial" w:hAnsi="Arial" w:cs="Arial"/>
          <w:b/>
          <w:iCs/>
          <w:sz w:val="20"/>
          <w:szCs w:val="20"/>
        </w:rPr>
      </w:pPr>
    </w:p>
    <w:p w14:paraId="1EE3484B" w14:textId="2D36434C" w:rsidR="004A1973" w:rsidRPr="00216A78" w:rsidRDefault="004A1973"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Calculation of FY 202</w:t>
      </w:r>
      <w:r w:rsidR="00436037" w:rsidRPr="00216A78">
        <w:rPr>
          <w:rFonts w:ascii="Arial" w:hAnsi="Arial" w:cs="Arial"/>
          <w:b/>
          <w:i/>
          <w:iCs/>
          <w:color w:val="000000"/>
          <w:sz w:val="20"/>
          <w:szCs w:val="20"/>
          <w:u w:val="single"/>
        </w:rPr>
        <w:t>2</w:t>
      </w:r>
      <w:r w:rsidRPr="00216A78">
        <w:rPr>
          <w:rFonts w:ascii="Arial" w:hAnsi="Arial" w:cs="Arial"/>
          <w:b/>
          <w:i/>
          <w:iCs/>
          <w:color w:val="000000"/>
          <w:sz w:val="20"/>
          <w:szCs w:val="20"/>
          <w:u w:val="single"/>
        </w:rPr>
        <w:t xml:space="preserve"> UCC Factor 3</w:t>
      </w:r>
    </w:p>
    <w:p w14:paraId="235F3764" w14:textId="1CE5046F" w:rsidR="004A1973" w:rsidRPr="005A5123" w:rsidRDefault="004A1973" w:rsidP="004A1973">
      <w:pPr>
        <w:rPr>
          <w:rFonts w:ascii="Arial" w:hAnsi="Arial" w:cs="Arial"/>
          <w:sz w:val="20"/>
          <w:szCs w:val="20"/>
        </w:rPr>
      </w:pPr>
      <w:r w:rsidRPr="001F5ADA">
        <w:rPr>
          <w:rFonts w:ascii="Arial" w:hAnsi="Arial" w:cs="Arial"/>
          <w:sz w:val="20"/>
          <w:szCs w:val="20"/>
        </w:rPr>
        <w:t>The CMS proposes to use audited S-10 UC</w:t>
      </w:r>
      <w:r w:rsidR="0030637A" w:rsidRPr="001F5ADA">
        <w:rPr>
          <w:rFonts w:ascii="Arial" w:hAnsi="Arial" w:cs="Arial"/>
          <w:sz w:val="20"/>
          <w:szCs w:val="20"/>
        </w:rPr>
        <w:t>C</w:t>
      </w:r>
      <w:r w:rsidRPr="001F5ADA">
        <w:rPr>
          <w:rFonts w:ascii="Arial" w:hAnsi="Arial" w:cs="Arial"/>
          <w:sz w:val="20"/>
          <w:szCs w:val="20"/>
        </w:rPr>
        <w:t xml:space="preserve"> costs from FY 201</w:t>
      </w:r>
      <w:r w:rsidR="00436037">
        <w:rPr>
          <w:rFonts w:ascii="Arial" w:hAnsi="Arial" w:cs="Arial"/>
          <w:sz w:val="20"/>
          <w:szCs w:val="20"/>
        </w:rPr>
        <w:t>8</w:t>
      </w:r>
      <w:r w:rsidRPr="001F5ADA">
        <w:rPr>
          <w:rFonts w:ascii="Arial" w:hAnsi="Arial" w:cs="Arial"/>
          <w:sz w:val="20"/>
          <w:szCs w:val="20"/>
        </w:rPr>
        <w:t>. The FY 201</w:t>
      </w:r>
      <w:r w:rsidR="00436037">
        <w:rPr>
          <w:rFonts w:ascii="Arial" w:hAnsi="Arial" w:cs="Arial"/>
          <w:sz w:val="20"/>
          <w:szCs w:val="20"/>
        </w:rPr>
        <w:t>8</w:t>
      </w:r>
      <w:r w:rsidRPr="001F5ADA">
        <w:rPr>
          <w:rFonts w:ascii="Arial" w:hAnsi="Arial" w:cs="Arial"/>
          <w:sz w:val="20"/>
          <w:szCs w:val="20"/>
        </w:rPr>
        <w:t xml:space="preserve"> data also reflects revisions to worksheet S-10 cost report instructions that were effective as of Oc</w:t>
      </w:r>
      <w:r w:rsidR="0030637A" w:rsidRPr="001F5ADA">
        <w:rPr>
          <w:rFonts w:ascii="Arial" w:hAnsi="Arial" w:cs="Arial"/>
          <w:sz w:val="20"/>
          <w:szCs w:val="20"/>
        </w:rPr>
        <w:t>t.</w:t>
      </w:r>
      <w:r w:rsidRPr="001F5ADA">
        <w:rPr>
          <w:rFonts w:ascii="Arial" w:hAnsi="Arial" w:cs="Arial"/>
          <w:sz w:val="20"/>
          <w:szCs w:val="20"/>
        </w:rPr>
        <w:t xml:space="preserve"> 1, 2017</w:t>
      </w:r>
      <w:r w:rsidR="00B4280B">
        <w:rPr>
          <w:rFonts w:ascii="Arial" w:hAnsi="Arial" w:cs="Arial"/>
          <w:sz w:val="20"/>
          <w:szCs w:val="20"/>
        </w:rPr>
        <w:t>,</w:t>
      </w:r>
      <w:r w:rsidRPr="001F5ADA">
        <w:rPr>
          <w:rFonts w:ascii="Arial" w:hAnsi="Arial" w:cs="Arial"/>
          <w:sz w:val="20"/>
          <w:szCs w:val="20"/>
        </w:rPr>
        <w:t xml:space="preserve"> </w:t>
      </w:r>
      <w:r w:rsidR="00436037">
        <w:rPr>
          <w:rFonts w:ascii="Arial" w:hAnsi="Arial" w:cs="Arial"/>
          <w:sz w:val="20"/>
          <w:szCs w:val="20"/>
        </w:rPr>
        <w:t>which should</w:t>
      </w:r>
      <w:r w:rsidRPr="001F5ADA">
        <w:rPr>
          <w:rFonts w:ascii="Arial" w:hAnsi="Arial" w:cs="Arial"/>
          <w:sz w:val="20"/>
          <w:szCs w:val="20"/>
        </w:rPr>
        <w:t xml:space="preserve"> increase consistency in data reporting by hospitals compared to earlier years. </w:t>
      </w:r>
      <w:r w:rsidR="001C5D8D" w:rsidRPr="001F5ADA">
        <w:rPr>
          <w:rFonts w:ascii="Arial" w:hAnsi="Arial" w:cs="Arial"/>
          <w:b/>
          <w:bCs/>
          <w:sz w:val="20"/>
          <w:szCs w:val="20"/>
        </w:rPr>
        <w:t>The MHA</w:t>
      </w:r>
      <w:r w:rsidRPr="001F5ADA">
        <w:rPr>
          <w:rFonts w:ascii="Arial" w:hAnsi="Arial" w:cs="Arial"/>
          <w:b/>
          <w:bCs/>
          <w:sz w:val="20"/>
          <w:szCs w:val="20"/>
        </w:rPr>
        <w:t xml:space="preserve"> </w:t>
      </w:r>
      <w:r w:rsidR="00436037">
        <w:rPr>
          <w:rFonts w:ascii="Arial" w:hAnsi="Arial" w:cs="Arial"/>
          <w:b/>
          <w:bCs/>
          <w:sz w:val="20"/>
          <w:szCs w:val="20"/>
        </w:rPr>
        <w:t xml:space="preserve">is appreciative that </w:t>
      </w:r>
      <w:r w:rsidRPr="001F5ADA">
        <w:rPr>
          <w:rFonts w:ascii="Arial" w:hAnsi="Arial" w:cs="Arial"/>
          <w:b/>
          <w:bCs/>
          <w:sz w:val="20"/>
          <w:szCs w:val="20"/>
        </w:rPr>
        <w:t xml:space="preserve">the CMS </w:t>
      </w:r>
      <w:r w:rsidR="00436037">
        <w:rPr>
          <w:rFonts w:ascii="Arial" w:hAnsi="Arial" w:cs="Arial"/>
          <w:b/>
          <w:bCs/>
          <w:sz w:val="20"/>
          <w:szCs w:val="20"/>
        </w:rPr>
        <w:t xml:space="preserve">audits worksheet S-10 data for all DSH-eligible hospitals rather than only a portion of hospitals. </w:t>
      </w:r>
      <w:r w:rsidR="00436037" w:rsidRPr="005A5123">
        <w:rPr>
          <w:rFonts w:ascii="Arial" w:hAnsi="Arial" w:cs="Arial"/>
          <w:sz w:val="20"/>
          <w:szCs w:val="20"/>
        </w:rPr>
        <w:t>We believe this is v</w:t>
      </w:r>
      <w:r w:rsidRPr="005A5123">
        <w:rPr>
          <w:rFonts w:ascii="Arial" w:hAnsi="Arial" w:cs="Arial"/>
          <w:sz w:val="20"/>
          <w:szCs w:val="20"/>
        </w:rPr>
        <w:t xml:space="preserve">ital </w:t>
      </w:r>
      <w:r w:rsidR="003B7F0D">
        <w:rPr>
          <w:rFonts w:ascii="Arial" w:hAnsi="Arial" w:cs="Arial"/>
          <w:sz w:val="20"/>
          <w:szCs w:val="20"/>
        </w:rPr>
        <w:t xml:space="preserve">to ensure consistency across hospitals </w:t>
      </w:r>
      <w:r w:rsidRPr="005A5123">
        <w:rPr>
          <w:rFonts w:ascii="Arial" w:hAnsi="Arial" w:cs="Arial"/>
          <w:sz w:val="20"/>
          <w:szCs w:val="20"/>
        </w:rPr>
        <w:t>since the data is used to allocate the $7.</w:t>
      </w:r>
      <w:r w:rsidR="00436037" w:rsidRPr="005A5123">
        <w:rPr>
          <w:rFonts w:ascii="Arial" w:hAnsi="Arial" w:cs="Arial"/>
          <w:sz w:val="20"/>
          <w:szCs w:val="20"/>
        </w:rPr>
        <w:t>6</w:t>
      </w:r>
      <w:r w:rsidRPr="005A5123">
        <w:rPr>
          <w:rFonts w:ascii="Arial" w:hAnsi="Arial" w:cs="Arial"/>
          <w:sz w:val="20"/>
          <w:szCs w:val="20"/>
        </w:rPr>
        <w:t xml:space="preserve"> billion UC</w:t>
      </w:r>
      <w:r w:rsidR="00C00F3C" w:rsidRPr="005A5123">
        <w:rPr>
          <w:rFonts w:ascii="Arial" w:hAnsi="Arial" w:cs="Arial"/>
          <w:sz w:val="20"/>
          <w:szCs w:val="20"/>
        </w:rPr>
        <w:t>C</w:t>
      </w:r>
      <w:r w:rsidRPr="005A5123">
        <w:rPr>
          <w:rFonts w:ascii="Arial" w:hAnsi="Arial" w:cs="Arial"/>
          <w:sz w:val="20"/>
          <w:szCs w:val="20"/>
        </w:rPr>
        <w:t xml:space="preserve"> pool.</w:t>
      </w:r>
    </w:p>
    <w:p w14:paraId="1751BE4C" w14:textId="77777777" w:rsidR="002102FA" w:rsidRDefault="002102FA" w:rsidP="00862539">
      <w:pPr>
        <w:rPr>
          <w:rFonts w:ascii="Arial" w:hAnsi="Arial" w:cs="Arial"/>
          <w:b/>
          <w:sz w:val="20"/>
          <w:szCs w:val="20"/>
          <w:u w:val="single"/>
        </w:rPr>
      </w:pPr>
    </w:p>
    <w:p w14:paraId="7B34DC73" w14:textId="0824D0CC" w:rsidR="00B61C47" w:rsidRPr="00E718AB" w:rsidRDefault="00B61C47" w:rsidP="00812D39">
      <w:pPr>
        <w:autoSpaceDE w:val="0"/>
        <w:autoSpaceDN w:val="0"/>
        <w:adjustRightInd w:val="0"/>
        <w:rPr>
          <w:rFonts w:ascii="Arial" w:hAnsi="Arial" w:cs="Arial"/>
          <w:b/>
          <w:color w:val="000000"/>
          <w:sz w:val="20"/>
          <w:szCs w:val="20"/>
          <w:highlight w:val="lightGray"/>
          <w:u w:val="single"/>
        </w:rPr>
      </w:pPr>
      <w:bookmarkStart w:id="1" w:name="_Hlk74903951"/>
      <w:r w:rsidRPr="00E718AB">
        <w:rPr>
          <w:rFonts w:ascii="Arial" w:hAnsi="Arial" w:cs="Arial"/>
          <w:b/>
          <w:color w:val="000000"/>
          <w:sz w:val="20"/>
          <w:szCs w:val="20"/>
          <w:highlight w:val="lightGray"/>
          <w:u w:val="single"/>
        </w:rPr>
        <w:t>GRADUATE MEDICAL EDUCATION</w:t>
      </w:r>
    </w:p>
    <w:p w14:paraId="2E5869E8" w14:textId="77777777" w:rsidR="00216A78" w:rsidRDefault="00216A78" w:rsidP="00216A78">
      <w:pPr>
        <w:autoSpaceDE w:val="0"/>
        <w:autoSpaceDN w:val="0"/>
        <w:adjustRightInd w:val="0"/>
        <w:rPr>
          <w:rFonts w:ascii="Arial" w:hAnsi="Arial" w:cs="Arial"/>
          <w:b/>
          <w:sz w:val="20"/>
          <w:szCs w:val="20"/>
          <w:u w:val="single"/>
        </w:rPr>
      </w:pPr>
    </w:p>
    <w:p w14:paraId="750CD45A" w14:textId="196AB96E" w:rsidR="002102FA" w:rsidRPr="00216A78" w:rsidRDefault="00216A78"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Limit on Residency Slots</w:t>
      </w:r>
    </w:p>
    <w:p w14:paraId="1CEB822C" w14:textId="0CB166D5" w:rsidR="00B462A3" w:rsidRDefault="00B462A3" w:rsidP="00862539">
      <w:pPr>
        <w:rPr>
          <w:rFonts w:ascii="Arial" w:hAnsi="Arial" w:cs="Arial"/>
          <w:bCs/>
          <w:sz w:val="20"/>
          <w:szCs w:val="20"/>
        </w:rPr>
      </w:pPr>
      <w:r>
        <w:rPr>
          <w:rFonts w:ascii="Arial" w:hAnsi="Arial" w:cs="Arial"/>
          <w:bCs/>
          <w:sz w:val="20"/>
          <w:szCs w:val="20"/>
        </w:rPr>
        <w:t xml:space="preserve">Section 126 of the Consolidated Appropriations Act (CAA) authorizes the Secretary to distribute 1,000 new residency full time equivalent (FTE) slots over 5 years, limited to 200 per year, to applicant hospitals beginning in FY 2023. The Secretary is required to notify hospitals of the number of </w:t>
      </w:r>
      <w:r w:rsidR="008F5A40">
        <w:rPr>
          <w:rFonts w:ascii="Arial" w:hAnsi="Arial" w:cs="Arial"/>
          <w:bCs/>
          <w:sz w:val="20"/>
          <w:szCs w:val="20"/>
        </w:rPr>
        <w:t xml:space="preserve">new </w:t>
      </w:r>
      <w:r>
        <w:rPr>
          <w:rFonts w:ascii="Arial" w:hAnsi="Arial" w:cs="Arial"/>
          <w:bCs/>
          <w:sz w:val="20"/>
          <w:szCs w:val="20"/>
        </w:rPr>
        <w:t xml:space="preserve">positions </w:t>
      </w:r>
      <w:r w:rsidR="008F5A40">
        <w:rPr>
          <w:rFonts w:ascii="Arial" w:hAnsi="Arial" w:cs="Arial"/>
          <w:bCs/>
          <w:sz w:val="20"/>
          <w:szCs w:val="20"/>
        </w:rPr>
        <w:t>awarded</w:t>
      </w:r>
      <w:r>
        <w:rPr>
          <w:rFonts w:ascii="Arial" w:hAnsi="Arial" w:cs="Arial"/>
          <w:bCs/>
          <w:sz w:val="20"/>
          <w:szCs w:val="20"/>
        </w:rPr>
        <w:t xml:space="preserve"> to them by Jan. 31 of the FY of the increase. </w:t>
      </w:r>
      <w:r w:rsidR="00281104">
        <w:rPr>
          <w:rFonts w:ascii="Arial" w:hAnsi="Arial" w:cs="Arial"/>
          <w:bCs/>
          <w:sz w:val="20"/>
          <w:szCs w:val="20"/>
        </w:rPr>
        <w:t xml:space="preserve">For example, by Jan. 31, 2022, the CMS will notify hospitals how many new </w:t>
      </w:r>
      <w:r w:rsidR="008F5A40">
        <w:rPr>
          <w:rFonts w:ascii="Arial" w:hAnsi="Arial" w:cs="Arial"/>
          <w:bCs/>
          <w:sz w:val="20"/>
          <w:szCs w:val="20"/>
        </w:rPr>
        <w:t xml:space="preserve">medical </w:t>
      </w:r>
      <w:r w:rsidR="00281104">
        <w:rPr>
          <w:rFonts w:ascii="Arial" w:hAnsi="Arial" w:cs="Arial"/>
          <w:bCs/>
          <w:sz w:val="20"/>
          <w:szCs w:val="20"/>
        </w:rPr>
        <w:t>residen</w:t>
      </w:r>
      <w:r w:rsidR="00972B9F">
        <w:rPr>
          <w:rFonts w:ascii="Arial" w:hAnsi="Arial" w:cs="Arial"/>
          <w:bCs/>
          <w:sz w:val="20"/>
          <w:szCs w:val="20"/>
        </w:rPr>
        <w:t>t</w:t>
      </w:r>
      <w:r w:rsidR="00281104">
        <w:rPr>
          <w:rFonts w:ascii="Arial" w:hAnsi="Arial" w:cs="Arial"/>
          <w:bCs/>
          <w:sz w:val="20"/>
          <w:szCs w:val="20"/>
        </w:rPr>
        <w:t xml:space="preserve"> positions th</w:t>
      </w:r>
      <w:r w:rsidR="008F5A40">
        <w:rPr>
          <w:rFonts w:ascii="Arial" w:hAnsi="Arial" w:cs="Arial"/>
          <w:bCs/>
          <w:sz w:val="20"/>
          <w:szCs w:val="20"/>
        </w:rPr>
        <w:t xml:space="preserve">ey </w:t>
      </w:r>
      <w:r w:rsidR="00281104">
        <w:rPr>
          <w:rFonts w:ascii="Arial" w:hAnsi="Arial" w:cs="Arial"/>
          <w:bCs/>
          <w:sz w:val="20"/>
          <w:szCs w:val="20"/>
        </w:rPr>
        <w:t xml:space="preserve">will have beginning July 1, 2022. </w:t>
      </w:r>
    </w:p>
    <w:p w14:paraId="617EC205" w14:textId="6915B250" w:rsidR="00B462A3" w:rsidRDefault="00B462A3" w:rsidP="00862539">
      <w:pPr>
        <w:rPr>
          <w:rFonts w:ascii="Arial" w:hAnsi="Arial" w:cs="Arial"/>
          <w:bCs/>
          <w:sz w:val="20"/>
          <w:szCs w:val="20"/>
        </w:rPr>
      </w:pPr>
    </w:p>
    <w:p w14:paraId="00668806" w14:textId="78CDDED3" w:rsidR="00B462A3" w:rsidRDefault="008F5A40" w:rsidP="00862539">
      <w:pPr>
        <w:rPr>
          <w:rFonts w:ascii="Arial" w:hAnsi="Arial" w:cs="Arial"/>
          <w:bCs/>
          <w:sz w:val="20"/>
          <w:szCs w:val="20"/>
        </w:rPr>
      </w:pPr>
      <w:r>
        <w:rPr>
          <w:rFonts w:ascii="Arial" w:hAnsi="Arial" w:cs="Arial"/>
          <w:bCs/>
          <w:sz w:val="20"/>
          <w:szCs w:val="20"/>
        </w:rPr>
        <w:t>T</w:t>
      </w:r>
      <w:r w:rsidR="00B462A3">
        <w:rPr>
          <w:rFonts w:ascii="Arial" w:hAnsi="Arial" w:cs="Arial"/>
          <w:bCs/>
          <w:sz w:val="20"/>
          <w:szCs w:val="20"/>
        </w:rPr>
        <w:t>he Secretary is required to distribute at least 10% of the aggregate number of total residency positions to four categories of hospitals that are:</w:t>
      </w:r>
    </w:p>
    <w:p w14:paraId="02E073FA" w14:textId="77CDE6F4" w:rsidR="00B462A3" w:rsidRDefault="00B462A3" w:rsidP="00862539">
      <w:pPr>
        <w:rPr>
          <w:rFonts w:ascii="Arial" w:hAnsi="Arial" w:cs="Arial"/>
          <w:bCs/>
          <w:sz w:val="20"/>
          <w:szCs w:val="20"/>
        </w:rPr>
      </w:pPr>
    </w:p>
    <w:p w14:paraId="31221422" w14:textId="441AB3CF" w:rsidR="00B462A3" w:rsidRPr="00B462A3" w:rsidRDefault="00B462A3" w:rsidP="00B462A3">
      <w:pPr>
        <w:pStyle w:val="ListParagraph"/>
        <w:numPr>
          <w:ilvl w:val="1"/>
          <w:numId w:val="19"/>
        </w:numPr>
        <w:rPr>
          <w:rFonts w:ascii="Arial" w:hAnsi="Arial" w:cs="Arial"/>
          <w:bCs/>
          <w:sz w:val="20"/>
          <w:szCs w:val="20"/>
        </w:rPr>
      </w:pPr>
      <w:bookmarkStart w:id="2" w:name="_Hlk74752952"/>
      <w:r w:rsidRPr="00B462A3">
        <w:rPr>
          <w:rFonts w:ascii="Arial" w:hAnsi="Arial" w:cs="Arial"/>
          <w:bCs/>
          <w:sz w:val="20"/>
          <w:szCs w:val="20"/>
        </w:rPr>
        <w:t xml:space="preserve">Located in rural areas or treated as rural for </w:t>
      </w:r>
      <w:r>
        <w:rPr>
          <w:rFonts w:ascii="Arial" w:hAnsi="Arial" w:cs="Arial"/>
          <w:bCs/>
          <w:sz w:val="20"/>
          <w:szCs w:val="20"/>
        </w:rPr>
        <w:t xml:space="preserve">Medicare </w:t>
      </w:r>
      <w:r w:rsidRPr="00B462A3">
        <w:rPr>
          <w:rFonts w:ascii="Arial" w:hAnsi="Arial" w:cs="Arial"/>
          <w:bCs/>
          <w:sz w:val="20"/>
          <w:szCs w:val="20"/>
        </w:rPr>
        <w:t>IPPS purposes</w:t>
      </w:r>
    </w:p>
    <w:p w14:paraId="634F34D7" w14:textId="080BA296" w:rsidR="00B462A3" w:rsidRPr="00B462A3" w:rsidRDefault="00B462A3" w:rsidP="00B462A3">
      <w:pPr>
        <w:pStyle w:val="ListParagraph"/>
        <w:numPr>
          <w:ilvl w:val="1"/>
          <w:numId w:val="19"/>
        </w:numPr>
        <w:rPr>
          <w:rFonts w:ascii="Arial" w:hAnsi="Arial" w:cs="Arial"/>
          <w:bCs/>
          <w:sz w:val="20"/>
          <w:szCs w:val="20"/>
        </w:rPr>
      </w:pPr>
      <w:r w:rsidRPr="00B462A3">
        <w:rPr>
          <w:rFonts w:ascii="Arial" w:hAnsi="Arial" w:cs="Arial"/>
          <w:bCs/>
          <w:sz w:val="20"/>
          <w:szCs w:val="20"/>
        </w:rPr>
        <w:t>Training more residents than their FTE cap</w:t>
      </w:r>
    </w:p>
    <w:p w14:paraId="0EA2D911" w14:textId="6198CA40" w:rsidR="00B462A3" w:rsidRPr="00B462A3" w:rsidRDefault="00B462A3" w:rsidP="00B462A3">
      <w:pPr>
        <w:pStyle w:val="ListParagraph"/>
        <w:numPr>
          <w:ilvl w:val="1"/>
          <w:numId w:val="19"/>
        </w:numPr>
        <w:rPr>
          <w:rFonts w:ascii="Arial" w:hAnsi="Arial" w:cs="Arial"/>
          <w:bCs/>
          <w:sz w:val="20"/>
          <w:szCs w:val="20"/>
        </w:rPr>
      </w:pPr>
      <w:r w:rsidRPr="00B462A3">
        <w:rPr>
          <w:rFonts w:ascii="Arial" w:hAnsi="Arial" w:cs="Arial"/>
          <w:bCs/>
          <w:sz w:val="20"/>
          <w:szCs w:val="20"/>
        </w:rPr>
        <w:t>Located in states with new medical schools or additional locations and branches of existing medical schools; and</w:t>
      </w:r>
    </w:p>
    <w:p w14:paraId="725B344C" w14:textId="782CAB5A" w:rsidR="00B462A3" w:rsidRPr="00B462A3" w:rsidRDefault="00B462A3" w:rsidP="00B462A3">
      <w:pPr>
        <w:pStyle w:val="ListParagraph"/>
        <w:numPr>
          <w:ilvl w:val="1"/>
          <w:numId w:val="19"/>
        </w:numPr>
        <w:rPr>
          <w:rFonts w:ascii="Arial" w:hAnsi="Arial" w:cs="Arial"/>
          <w:bCs/>
          <w:sz w:val="20"/>
          <w:szCs w:val="20"/>
        </w:rPr>
      </w:pPr>
      <w:r w:rsidRPr="00B462A3">
        <w:rPr>
          <w:rFonts w:ascii="Arial" w:hAnsi="Arial" w:cs="Arial"/>
          <w:bCs/>
          <w:sz w:val="20"/>
          <w:szCs w:val="20"/>
        </w:rPr>
        <w:t>Serve areas designated as Health Professional Shortage Areas (HPSAs)</w:t>
      </w:r>
    </w:p>
    <w:bookmarkEnd w:id="2"/>
    <w:p w14:paraId="0144BCEF" w14:textId="14FD7034" w:rsidR="00546BF0" w:rsidRPr="004F149F" w:rsidRDefault="00546BF0" w:rsidP="00862539">
      <w:pPr>
        <w:rPr>
          <w:rFonts w:ascii="Arial" w:hAnsi="Arial" w:cs="Arial"/>
          <w:b/>
          <w:sz w:val="20"/>
          <w:szCs w:val="20"/>
        </w:rPr>
      </w:pPr>
      <w:r>
        <w:rPr>
          <w:rFonts w:ascii="Arial" w:hAnsi="Arial" w:cs="Arial"/>
          <w:bCs/>
          <w:sz w:val="20"/>
          <w:szCs w:val="20"/>
        </w:rPr>
        <w:t>Based on the CAA, h</w:t>
      </w:r>
      <w:r w:rsidR="00F537F4">
        <w:rPr>
          <w:rFonts w:ascii="Arial" w:hAnsi="Arial" w:cs="Arial"/>
          <w:bCs/>
          <w:sz w:val="20"/>
          <w:szCs w:val="20"/>
        </w:rPr>
        <w:t xml:space="preserve">ospitals are limited to receiving no more than 25 additional FTE residency positions and must agree to use </w:t>
      </w:r>
      <w:proofErr w:type="gramStart"/>
      <w:r w:rsidR="00F537F4">
        <w:rPr>
          <w:rFonts w:ascii="Arial" w:hAnsi="Arial" w:cs="Arial"/>
          <w:bCs/>
          <w:sz w:val="20"/>
          <w:szCs w:val="20"/>
        </w:rPr>
        <w:t>all of</w:t>
      </w:r>
      <w:proofErr w:type="gramEnd"/>
      <w:r w:rsidR="00F537F4">
        <w:rPr>
          <w:rFonts w:ascii="Arial" w:hAnsi="Arial" w:cs="Arial"/>
          <w:bCs/>
          <w:sz w:val="20"/>
          <w:szCs w:val="20"/>
        </w:rPr>
        <w:t xml:space="preserve"> the slots made available to them. </w:t>
      </w:r>
      <w:r w:rsidR="00CF430C" w:rsidRPr="004F149F">
        <w:rPr>
          <w:rFonts w:ascii="Arial" w:hAnsi="Arial" w:cs="Arial"/>
          <w:b/>
          <w:sz w:val="20"/>
          <w:szCs w:val="20"/>
        </w:rPr>
        <w:t xml:space="preserve">The MHA is supportive of efforts to increase the number of </w:t>
      </w:r>
      <w:r w:rsidR="007A4A30" w:rsidRPr="004F149F">
        <w:rPr>
          <w:rFonts w:ascii="Arial" w:hAnsi="Arial" w:cs="Arial"/>
          <w:b/>
          <w:sz w:val="20"/>
          <w:szCs w:val="20"/>
        </w:rPr>
        <w:t xml:space="preserve">Medicare-funded </w:t>
      </w:r>
      <w:r w:rsidR="00CF430C" w:rsidRPr="004F149F">
        <w:rPr>
          <w:rFonts w:ascii="Arial" w:hAnsi="Arial" w:cs="Arial"/>
          <w:b/>
          <w:sz w:val="20"/>
          <w:szCs w:val="20"/>
        </w:rPr>
        <w:t xml:space="preserve">medical residency slots </w:t>
      </w:r>
      <w:r w:rsidR="007A4A30" w:rsidRPr="004F149F">
        <w:rPr>
          <w:rFonts w:ascii="Arial" w:hAnsi="Arial" w:cs="Arial"/>
          <w:b/>
          <w:sz w:val="20"/>
          <w:szCs w:val="20"/>
        </w:rPr>
        <w:t xml:space="preserve">to address current and anticipated physician shortages </w:t>
      </w:r>
      <w:r w:rsidR="00521119" w:rsidRPr="004F149F">
        <w:rPr>
          <w:rFonts w:ascii="Arial" w:hAnsi="Arial" w:cs="Arial"/>
          <w:b/>
          <w:sz w:val="20"/>
          <w:szCs w:val="20"/>
        </w:rPr>
        <w:t xml:space="preserve">particularly with Michigan’s aging population. </w:t>
      </w:r>
    </w:p>
    <w:p w14:paraId="2E174E0C" w14:textId="77777777" w:rsidR="00546BF0" w:rsidRPr="004F149F" w:rsidRDefault="00546BF0" w:rsidP="00862539">
      <w:pPr>
        <w:rPr>
          <w:rFonts w:ascii="Arial" w:hAnsi="Arial" w:cs="Arial"/>
          <w:b/>
          <w:sz w:val="20"/>
          <w:szCs w:val="20"/>
        </w:rPr>
      </w:pPr>
    </w:p>
    <w:p w14:paraId="660D67C7" w14:textId="37272250" w:rsidR="00D45F58" w:rsidRPr="003D1FC5" w:rsidRDefault="00521119" w:rsidP="00862539">
      <w:pPr>
        <w:rPr>
          <w:rFonts w:ascii="Arial" w:hAnsi="Arial" w:cs="Arial"/>
          <w:bCs/>
          <w:sz w:val="20"/>
          <w:szCs w:val="20"/>
        </w:rPr>
      </w:pPr>
      <w:r w:rsidRPr="00521119">
        <w:rPr>
          <w:rFonts w:ascii="Arial" w:hAnsi="Arial" w:cs="Arial"/>
          <w:bCs/>
          <w:sz w:val="20"/>
          <w:szCs w:val="20"/>
        </w:rPr>
        <w:t xml:space="preserve">We </w:t>
      </w:r>
      <w:r w:rsidR="00CF430C" w:rsidRPr="00521119">
        <w:rPr>
          <w:rFonts w:ascii="Arial" w:hAnsi="Arial" w:cs="Arial"/>
          <w:bCs/>
          <w:sz w:val="20"/>
          <w:szCs w:val="20"/>
        </w:rPr>
        <w:t xml:space="preserve">recognize that Medicare funding for medical </w:t>
      </w:r>
      <w:r>
        <w:rPr>
          <w:rFonts w:ascii="Arial" w:hAnsi="Arial" w:cs="Arial"/>
          <w:bCs/>
          <w:sz w:val="20"/>
          <w:szCs w:val="20"/>
        </w:rPr>
        <w:t>residency</w:t>
      </w:r>
      <w:r w:rsidR="00CF430C" w:rsidRPr="00521119">
        <w:rPr>
          <w:rFonts w:ascii="Arial" w:hAnsi="Arial" w:cs="Arial"/>
          <w:bCs/>
          <w:sz w:val="20"/>
          <w:szCs w:val="20"/>
        </w:rPr>
        <w:t xml:space="preserve"> programs is vital</w:t>
      </w:r>
      <w:r w:rsidR="00286BB0" w:rsidRPr="00521119">
        <w:rPr>
          <w:rFonts w:ascii="Arial" w:hAnsi="Arial" w:cs="Arial"/>
          <w:bCs/>
          <w:sz w:val="20"/>
          <w:szCs w:val="20"/>
        </w:rPr>
        <w:t xml:space="preserve"> for ensuring </w:t>
      </w:r>
      <w:r>
        <w:rPr>
          <w:rFonts w:ascii="Arial" w:hAnsi="Arial" w:cs="Arial"/>
          <w:bCs/>
          <w:sz w:val="20"/>
          <w:szCs w:val="20"/>
        </w:rPr>
        <w:t xml:space="preserve">training for future </w:t>
      </w:r>
      <w:r w:rsidR="00286BB0" w:rsidRPr="00521119">
        <w:rPr>
          <w:rFonts w:ascii="Arial" w:hAnsi="Arial" w:cs="Arial"/>
          <w:bCs/>
          <w:sz w:val="20"/>
          <w:szCs w:val="20"/>
        </w:rPr>
        <w:t>physician</w:t>
      </w:r>
      <w:r>
        <w:rPr>
          <w:rFonts w:ascii="Arial" w:hAnsi="Arial" w:cs="Arial"/>
          <w:bCs/>
          <w:sz w:val="20"/>
          <w:szCs w:val="20"/>
        </w:rPr>
        <w:t xml:space="preserve">s. </w:t>
      </w:r>
      <w:r w:rsidR="00546BF0">
        <w:rPr>
          <w:rFonts w:ascii="Arial" w:hAnsi="Arial" w:cs="Arial"/>
          <w:bCs/>
          <w:sz w:val="20"/>
          <w:szCs w:val="20"/>
        </w:rPr>
        <w:t>While t</w:t>
      </w:r>
      <w:r w:rsidR="00D45F58" w:rsidRPr="00D45F58">
        <w:rPr>
          <w:rFonts w:ascii="Arial" w:hAnsi="Arial" w:cs="Arial"/>
          <w:bCs/>
          <w:sz w:val="20"/>
          <w:szCs w:val="20"/>
        </w:rPr>
        <w:t xml:space="preserve">he </w:t>
      </w:r>
      <w:r w:rsidR="00D45F58">
        <w:rPr>
          <w:rFonts w:ascii="Arial" w:hAnsi="Arial" w:cs="Arial"/>
          <w:bCs/>
          <w:sz w:val="20"/>
          <w:szCs w:val="20"/>
        </w:rPr>
        <w:t xml:space="preserve">CAA allows hospitals to receive up to 25 </w:t>
      </w:r>
      <w:r w:rsidR="00546BF0">
        <w:rPr>
          <w:rFonts w:ascii="Arial" w:hAnsi="Arial" w:cs="Arial"/>
          <w:bCs/>
          <w:sz w:val="20"/>
          <w:szCs w:val="20"/>
        </w:rPr>
        <w:t xml:space="preserve">additional </w:t>
      </w:r>
      <w:r w:rsidR="00D45F58">
        <w:rPr>
          <w:rFonts w:ascii="Arial" w:hAnsi="Arial" w:cs="Arial"/>
          <w:bCs/>
          <w:sz w:val="20"/>
          <w:szCs w:val="20"/>
        </w:rPr>
        <w:t>FTE residency slots per hospital</w:t>
      </w:r>
      <w:r w:rsidR="008F5A40">
        <w:rPr>
          <w:rFonts w:ascii="Arial" w:hAnsi="Arial" w:cs="Arial"/>
          <w:bCs/>
          <w:sz w:val="20"/>
          <w:szCs w:val="20"/>
        </w:rPr>
        <w:t xml:space="preserve"> over 5 years,</w:t>
      </w:r>
      <w:r w:rsidR="00D45F58">
        <w:rPr>
          <w:rFonts w:ascii="Arial" w:hAnsi="Arial" w:cs="Arial"/>
          <w:bCs/>
          <w:sz w:val="20"/>
          <w:szCs w:val="20"/>
        </w:rPr>
        <w:t xml:space="preserve"> in the FY 2022 IPPS proposed rule, the CMS propos</w:t>
      </w:r>
      <w:r w:rsidR="00546BF0">
        <w:rPr>
          <w:rFonts w:ascii="Arial" w:hAnsi="Arial" w:cs="Arial"/>
          <w:bCs/>
          <w:sz w:val="20"/>
          <w:szCs w:val="20"/>
        </w:rPr>
        <w:t>es</w:t>
      </w:r>
      <w:r w:rsidR="00D45F58">
        <w:rPr>
          <w:rFonts w:ascii="Arial" w:hAnsi="Arial" w:cs="Arial"/>
          <w:bCs/>
          <w:sz w:val="20"/>
          <w:szCs w:val="20"/>
        </w:rPr>
        <w:t xml:space="preserve"> a stricter cap of up to 1</w:t>
      </w:r>
      <w:r w:rsidR="008F5A40">
        <w:rPr>
          <w:rFonts w:ascii="Arial" w:hAnsi="Arial" w:cs="Arial"/>
          <w:bCs/>
          <w:sz w:val="20"/>
          <w:szCs w:val="20"/>
        </w:rPr>
        <w:t>.0</w:t>
      </w:r>
      <w:r w:rsidR="00D45F58">
        <w:rPr>
          <w:rFonts w:ascii="Arial" w:hAnsi="Arial" w:cs="Arial"/>
          <w:bCs/>
          <w:sz w:val="20"/>
          <w:szCs w:val="20"/>
        </w:rPr>
        <w:t xml:space="preserve"> FTE per year.</w:t>
      </w:r>
      <w:r w:rsidR="00CF430C">
        <w:rPr>
          <w:rFonts w:ascii="Arial" w:hAnsi="Arial" w:cs="Arial"/>
          <w:bCs/>
          <w:sz w:val="20"/>
          <w:szCs w:val="20"/>
        </w:rPr>
        <w:t xml:space="preserve"> </w:t>
      </w:r>
      <w:r w:rsidR="00CF430C" w:rsidRPr="00CF430C">
        <w:rPr>
          <w:rFonts w:ascii="Arial" w:hAnsi="Arial" w:cs="Arial"/>
          <w:b/>
          <w:sz w:val="20"/>
          <w:szCs w:val="20"/>
        </w:rPr>
        <w:t xml:space="preserve">The MHA opposes the CMS proposal to limit </w:t>
      </w:r>
      <w:r w:rsidR="002C7294">
        <w:rPr>
          <w:rFonts w:ascii="Arial" w:hAnsi="Arial" w:cs="Arial"/>
          <w:b/>
          <w:sz w:val="20"/>
          <w:szCs w:val="20"/>
        </w:rPr>
        <w:t xml:space="preserve">new residency </w:t>
      </w:r>
      <w:r w:rsidR="00CF430C" w:rsidRPr="00CF430C">
        <w:rPr>
          <w:rFonts w:ascii="Arial" w:hAnsi="Arial" w:cs="Arial"/>
          <w:b/>
          <w:sz w:val="20"/>
          <w:szCs w:val="20"/>
        </w:rPr>
        <w:t xml:space="preserve">slots to </w:t>
      </w:r>
      <w:r w:rsidR="003D1FC5">
        <w:rPr>
          <w:rFonts w:ascii="Arial" w:hAnsi="Arial" w:cs="Arial"/>
          <w:b/>
          <w:sz w:val="20"/>
          <w:szCs w:val="20"/>
        </w:rPr>
        <w:t>1.0</w:t>
      </w:r>
      <w:r w:rsidR="00546BF0">
        <w:rPr>
          <w:rFonts w:ascii="Arial" w:hAnsi="Arial" w:cs="Arial"/>
          <w:b/>
          <w:sz w:val="20"/>
          <w:szCs w:val="20"/>
        </w:rPr>
        <w:t xml:space="preserve"> FTE</w:t>
      </w:r>
      <w:r w:rsidR="00CF430C" w:rsidRPr="00CF430C">
        <w:rPr>
          <w:rFonts w:ascii="Arial" w:hAnsi="Arial" w:cs="Arial"/>
          <w:b/>
          <w:sz w:val="20"/>
          <w:szCs w:val="20"/>
        </w:rPr>
        <w:t xml:space="preserve"> per hospital </w:t>
      </w:r>
      <w:r w:rsidR="005F3446">
        <w:rPr>
          <w:rFonts w:ascii="Arial" w:hAnsi="Arial" w:cs="Arial"/>
          <w:b/>
          <w:sz w:val="20"/>
          <w:szCs w:val="20"/>
        </w:rPr>
        <w:t xml:space="preserve">per year </w:t>
      </w:r>
      <w:r w:rsidR="003D1FC5">
        <w:rPr>
          <w:rFonts w:ascii="Arial" w:hAnsi="Arial" w:cs="Arial"/>
          <w:b/>
          <w:sz w:val="20"/>
          <w:szCs w:val="20"/>
        </w:rPr>
        <w:t xml:space="preserve">when the statute allows up to 25 per hospital over </w:t>
      </w:r>
      <w:r w:rsidR="008F5A40">
        <w:rPr>
          <w:rFonts w:ascii="Arial" w:hAnsi="Arial" w:cs="Arial"/>
          <w:b/>
          <w:sz w:val="20"/>
          <w:szCs w:val="20"/>
        </w:rPr>
        <w:t>5</w:t>
      </w:r>
      <w:r w:rsidR="003D1FC5">
        <w:rPr>
          <w:rFonts w:ascii="Arial" w:hAnsi="Arial" w:cs="Arial"/>
          <w:b/>
          <w:sz w:val="20"/>
          <w:szCs w:val="20"/>
        </w:rPr>
        <w:t xml:space="preserve"> years</w:t>
      </w:r>
      <w:r w:rsidR="00CF430C" w:rsidRPr="00CF430C">
        <w:rPr>
          <w:rFonts w:ascii="Arial" w:hAnsi="Arial" w:cs="Arial"/>
          <w:b/>
          <w:sz w:val="20"/>
          <w:szCs w:val="20"/>
        </w:rPr>
        <w:t xml:space="preserve">. </w:t>
      </w:r>
      <w:r w:rsidR="009C790F">
        <w:rPr>
          <w:rFonts w:ascii="Arial" w:hAnsi="Arial" w:cs="Arial"/>
          <w:b/>
          <w:sz w:val="20"/>
          <w:szCs w:val="20"/>
        </w:rPr>
        <w:t xml:space="preserve">The MHA aligns our comments with those of the </w:t>
      </w:r>
      <w:r w:rsidR="009211FE">
        <w:rPr>
          <w:rFonts w:ascii="Arial" w:hAnsi="Arial" w:cs="Arial"/>
          <w:b/>
          <w:sz w:val="20"/>
          <w:szCs w:val="20"/>
        </w:rPr>
        <w:t xml:space="preserve">AAMC </w:t>
      </w:r>
      <w:r w:rsidR="009C790F">
        <w:rPr>
          <w:rFonts w:ascii="Arial" w:hAnsi="Arial" w:cs="Arial"/>
          <w:b/>
          <w:sz w:val="20"/>
          <w:szCs w:val="20"/>
        </w:rPr>
        <w:t>and urge</w:t>
      </w:r>
      <w:r w:rsidR="008F5A40">
        <w:rPr>
          <w:rFonts w:ascii="Arial" w:hAnsi="Arial" w:cs="Arial"/>
          <w:b/>
          <w:sz w:val="20"/>
          <w:szCs w:val="20"/>
        </w:rPr>
        <w:t>s</w:t>
      </w:r>
      <w:r w:rsidR="009C790F">
        <w:rPr>
          <w:rFonts w:ascii="Arial" w:hAnsi="Arial" w:cs="Arial"/>
          <w:b/>
          <w:sz w:val="20"/>
          <w:szCs w:val="20"/>
        </w:rPr>
        <w:t xml:space="preserve"> the CMS to allow hospitals to apply for up to </w:t>
      </w:r>
      <w:r w:rsidR="008F5A40">
        <w:rPr>
          <w:rFonts w:ascii="Arial" w:hAnsi="Arial" w:cs="Arial"/>
          <w:b/>
          <w:sz w:val="20"/>
          <w:szCs w:val="20"/>
        </w:rPr>
        <w:t>15</w:t>
      </w:r>
      <w:r w:rsidR="009C790F">
        <w:rPr>
          <w:rFonts w:ascii="Arial" w:hAnsi="Arial" w:cs="Arial"/>
          <w:b/>
          <w:sz w:val="20"/>
          <w:szCs w:val="20"/>
        </w:rPr>
        <w:t xml:space="preserve"> residency slots to allow programs, depending upon specialty, a reasonable expansion over </w:t>
      </w:r>
      <w:r w:rsidR="008F5A40">
        <w:rPr>
          <w:rFonts w:ascii="Arial" w:hAnsi="Arial" w:cs="Arial"/>
          <w:b/>
          <w:sz w:val="20"/>
          <w:szCs w:val="20"/>
        </w:rPr>
        <w:t>5</w:t>
      </w:r>
      <w:r w:rsidR="009C790F">
        <w:rPr>
          <w:rFonts w:ascii="Arial" w:hAnsi="Arial" w:cs="Arial"/>
          <w:b/>
          <w:sz w:val="20"/>
          <w:szCs w:val="20"/>
        </w:rPr>
        <w:t xml:space="preserve"> years. </w:t>
      </w:r>
      <w:r w:rsidR="009C790F" w:rsidRPr="003D1FC5">
        <w:rPr>
          <w:rFonts w:ascii="Arial" w:hAnsi="Arial" w:cs="Arial"/>
          <w:bCs/>
          <w:sz w:val="20"/>
          <w:szCs w:val="20"/>
        </w:rPr>
        <w:t xml:space="preserve">With the assurance of funding for up to </w:t>
      </w:r>
      <w:r w:rsidR="008F5A40">
        <w:rPr>
          <w:rFonts w:ascii="Arial" w:hAnsi="Arial" w:cs="Arial"/>
          <w:bCs/>
          <w:sz w:val="20"/>
          <w:szCs w:val="20"/>
        </w:rPr>
        <w:t>15</w:t>
      </w:r>
      <w:r w:rsidR="009C790F" w:rsidRPr="003D1FC5">
        <w:rPr>
          <w:rFonts w:ascii="Arial" w:hAnsi="Arial" w:cs="Arial"/>
          <w:bCs/>
          <w:sz w:val="20"/>
          <w:szCs w:val="20"/>
        </w:rPr>
        <w:t xml:space="preserve"> slots, hospitals could expand one or more training programs in a meaningful manner. However, if the CMS decides that slots should be distributed to as many teaching hospitals as possible, then at a minimum each hospital should receive </w:t>
      </w:r>
      <w:r w:rsidR="008F5A40">
        <w:rPr>
          <w:rFonts w:ascii="Arial" w:hAnsi="Arial" w:cs="Arial"/>
          <w:bCs/>
          <w:sz w:val="20"/>
          <w:szCs w:val="20"/>
        </w:rPr>
        <w:t>3</w:t>
      </w:r>
      <w:r w:rsidR="009C790F" w:rsidRPr="003D1FC5">
        <w:rPr>
          <w:rFonts w:ascii="Arial" w:hAnsi="Arial" w:cs="Arial"/>
          <w:bCs/>
          <w:sz w:val="20"/>
          <w:szCs w:val="20"/>
        </w:rPr>
        <w:t xml:space="preserve"> to </w:t>
      </w:r>
      <w:r w:rsidR="008F5A40">
        <w:rPr>
          <w:rFonts w:ascii="Arial" w:hAnsi="Arial" w:cs="Arial"/>
          <w:bCs/>
          <w:sz w:val="20"/>
          <w:szCs w:val="20"/>
        </w:rPr>
        <w:t>5</w:t>
      </w:r>
      <w:r w:rsidR="009C790F" w:rsidRPr="003D1FC5">
        <w:rPr>
          <w:rFonts w:ascii="Arial" w:hAnsi="Arial" w:cs="Arial"/>
          <w:bCs/>
          <w:sz w:val="20"/>
          <w:szCs w:val="20"/>
        </w:rPr>
        <w:t xml:space="preserve"> slots. Depending on the specialty length, this will allow for an increase of one resident for each year of training, though it may be insufficient to provide an opportunity to start a new program</w:t>
      </w:r>
      <w:r w:rsidR="00546BF0" w:rsidRPr="003D1FC5">
        <w:rPr>
          <w:rFonts w:ascii="Arial" w:hAnsi="Arial" w:cs="Arial"/>
          <w:bCs/>
          <w:sz w:val="20"/>
          <w:szCs w:val="20"/>
        </w:rPr>
        <w:t xml:space="preserve">. </w:t>
      </w:r>
    </w:p>
    <w:p w14:paraId="4F8FDB92" w14:textId="2CD06CB9" w:rsidR="00C4771F" w:rsidRPr="003D1FC5" w:rsidRDefault="00C4771F" w:rsidP="00862539">
      <w:pPr>
        <w:rPr>
          <w:rFonts w:ascii="Arial" w:hAnsi="Arial" w:cs="Arial"/>
          <w:bCs/>
          <w:sz w:val="20"/>
          <w:szCs w:val="20"/>
        </w:rPr>
      </w:pPr>
    </w:p>
    <w:p w14:paraId="52E7B02D" w14:textId="19CB5528" w:rsidR="00C4771F" w:rsidRDefault="00C4771F" w:rsidP="00862539">
      <w:pPr>
        <w:rPr>
          <w:rFonts w:ascii="Arial" w:hAnsi="Arial" w:cs="Arial"/>
          <w:b/>
          <w:sz w:val="20"/>
          <w:szCs w:val="20"/>
        </w:rPr>
      </w:pPr>
      <w:r>
        <w:rPr>
          <w:rFonts w:ascii="Arial" w:hAnsi="Arial" w:cs="Arial"/>
          <w:b/>
          <w:sz w:val="20"/>
          <w:szCs w:val="20"/>
        </w:rPr>
        <w:t xml:space="preserve">The MHA also recommends that the CMS take into consideration the significant impact of the COVID-19 pandemic on the healthcare workforce as the pandemic has exacerbated physician retention, burnout, and shortage issues while also creating delays in establishing new medical residency programs. We request that the CMS extend the 5-year cap-building window by the length of the PHE plus the additional time needed to reach July 1, to align with the start date of the academic year when residency programs begin. </w:t>
      </w:r>
    </w:p>
    <w:p w14:paraId="5DEBFCAD" w14:textId="41496053" w:rsidR="00DB026E" w:rsidRDefault="00DB026E" w:rsidP="00862539">
      <w:pPr>
        <w:rPr>
          <w:rFonts w:ascii="Arial" w:hAnsi="Arial" w:cs="Arial"/>
          <w:b/>
          <w:sz w:val="20"/>
          <w:szCs w:val="20"/>
        </w:rPr>
      </w:pPr>
    </w:p>
    <w:p w14:paraId="44EB60F1" w14:textId="4DF53578" w:rsidR="007D31DC" w:rsidRPr="00216A78" w:rsidRDefault="00216A78"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Category 4 – Hospitals that Serve Designated HPSAs</w:t>
      </w:r>
      <w:r w:rsidR="007D31DC" w:rsidRPr="00216A78">
        <w:rPr>
          <w:rFonts w:ascii="Arial" w:hAnsi="Arial" w:cs="Arial"/>
          <w:b/>
          <w:i/>
          <w:iCs/>
          <w:color w:val="000000"/>
          <w:sz w:val="20"/>
          <w:szCs w:val="20"/>
          <w:u w:val="single"/>
        </w:rPr>
        <w:t xml:space="preserve"> </w:t>
      </w:r>
    </w:p>
    <w:p w14:paraId="235C51EA" w14:textId="1D1CACA8" w:rsidR="007D31DC" w:rsidRPr="00216A78" w:rsidRDefault="007D31DC" w:rsidP="007D31DC">
      <w:pPr>
        <w:rPr>
          <w:rFonts w:ascii="Arial" w:hAnsi="Arial" w:cs="Arial"/>
          <w:bCs/>
          <w:sz w:val="20"/>
          <w:szCs w:val="20"/>
        </w:rPr>
      </w:pPr>
      <w:r w:rsidRPr="00216A78">
        <w:rPr>
          <w:rFonts w:ascii="Arial" w:hAnsi="Arial" w:cs="Arial"/>
          <w:bCs/>
          <w:sz w:val="20"/>
          <w:szCs w:val="20"/>
        </w:rPr>
        <w:t>Per the CAA</w:t>
      </w:r>
      <w:r w:rsidR="0038648A">
        <w:rPr>
          <w:rFonts w:ascii="Arial" w:hAnsi="Arial" w:cs="Arial"/>
          <w:bCs/>
          <w:sz w:val="20"/>
          <w:szCs w:val="20"/>
        </w:rPr>
        <w:t>,</w:t>
      </w:r>
      <w:r w:rsidRPr="00216A78">
        <w:rPr>
          <w:rFonts w:ascii="Arial" w:hAnsi="Arial" w:cs="Arial"/>
          <w:bCs/>
          <w:sz w:val="20"/>
          <w:szCs w:val="20"/>
        </w:rPr>
        <w:t xml:space="preserve"> one of the </w:t>
      </w:r>
      <w:r w:rsidR="0038648A">
        <w:rPr>
          <w:rFonts w:ascii="Arial" w:hAnsi="Arial" w:cs="Arial"/>
          <w:bCs/>
          <w:sz w:val="20"/>
          <w:szCs w:val="20"/>
        </w:rPr>
        <w:t>4</w:t>
      </w:r>
      <w:r w:rsidRPr="00216A78">
        <w:rPr>
          <w:rFonts w:ascii="Arial" w:hAnsi="Arial" w:cs="Arial"/>
          <w:bCs/>
          <w:sz w:val="20"/>
          <w:szCs w:val="20"/>
        </w:rPr>
        <w:t xml:space="preserve"> statutory eligibility criteria is hospitals that serve areas designated as Health Professional Shortage Areas</w:t>
      </w:r>
      <w:r w:rsidR="008F5A40" w:rsidRPr="00216A78">
        <w:rPr>
          <w:rFonts w:ascii="Arial" w:hAnsi="Arial" w:cs="Arial"/>
          <w:bCs/>
          <w:sz w:val="20"/>
          <w:szCs w:val="20"/>
        </w:rPr>
        <w:t xml:space="preserve"> (HPSAs)</w:t>
      </w:r>
      <w:r w:rsidRPr="00216A78">
        <w:rPr>
          <w:rFonts w:ascii="Arial" w:hAnsi="Arial" w:cs="Arial"/>
          <w:bCs/>
          <w:sz w:val="20"/>
          <w:szCs w:val="20"/>
        </w:rPr>
        <w:t>.  Since the CAA did not specify how HPSAs for different medical</w:t>
      </w:r>
      <w:r>
        <w:rPr>
          <w:rFonts w:cs="TimesNewRoman"/>
          <w:sz w:val="22"/>
          <w:szCs w:val="22"/>
        </w:rPr>
        <w:t xml:space="preserve"> </w:t>
      </w:r>
      <w:r w:rsidRPr="00216A78">
        <w:rPr>
          <w:rFonts w:ascii="Arial" w:hAnsi="Arial" w:cs="Arial"/>
          <w:bCs/>
          <w:sz w:val="20"/>
          <w:szCs w:val="20"/>
        </w:rPr>
        <w:lastRenderedPageBreak/>
        <w:t xml:space="preserve">specialties should be used to determine which hospitals meet the criteria, the CMS proposes that hospitals located in a geographic primary care </w:t>
      </w:r>
      <w:r w:rsidR="006A08A5">
        <w:rPr>
          <w:rFonts w:ascii="Arial" w:hAnsi="Arial" w:cs="Arial"/>
          <w:bCs/>
          <w:sz w:val="20"/>
          <w:szCs w:val="20"/>
        </w:rPr>
        <w:t>or</w:t>
      </w:r>
      <w:r w:rsidRPr="00216A78">
        <w:rPr>
          <w:rFonts w:ascii="Arial" w:hAnsi="Arial" w:cs="Arial"/>
          <w:bCs/>
          <w:sz w:val="20"/>
          <w:szCs w:val="20"/>
        </w:rPr>
        <w:t xml:space="preserve"> mental health (limited to psychiatry residents) HPSA be considered. The CMS based its proposal on the requirements set forth under the HPSA Physician Bonus Program.  However, the HPSA Physician Bonus Program was designed as “an incentive to attract new physicians to medically underserved communities and to encourage physicians in those areas to remain there” while the purpose of the new 1,000 residency slots is to help ease the national physician shortage.  </w:t>
      </w:r>
    </w:p>
    <w:p w14:paraId="27BF49B0" w14:textId="77777777" w:rsidR="007D31DC" w:rsidRPr="00216A78" w:rsidRDefault="007D31DC" w:rsidP="007D31DC">
      <w:pPr>
        <w:rPr>
          <w:rFonts w:ascii="Arial" w:hAnsi="Arial" w:cs="Arial"/>
          <w:bCs/>
          <w:sz w:val="20"/>
          <w:szCs w:val="20"/>
        </w:rPr>
      </w:pPr>
    </w:p>
    <w:p w14:paraId="707AA9F2" w14:textId="6DD3F3A0" w:rsidR="007D31DC" w:rsidRPr="00216A78" w:rsidRDefault="008F5A40" w:rsidP="007D31DC">
      <w:pPr>
        <w:rPr>
          <w:rFonts w:ascii="Arial" w:hAnsi="Arial" w:cs="Arial"/>
          <w:bCs/>
          <w:sz w:val="20"/>
          <w:szCs w:val="20"/>
        </w:rPr>
      </w:pPr>
      <w:r w:rsidRPr="00216A78">
        <w:rPr>
          <w:rFonts w:ascii="Arial" w:hAnsi="Arial" w:cs="Arial"/>
          <w:bCs/>
          <w:sz w:val="20"/>
          <w:szCs w:val="20"/>
        </w:rPr>
        <w:t>In addition, t</w:t>
      </w:r>
      <w:r w:rsidR="007D31DC" w:rsidRPr="00216A78">
        <w:rPr>
          <w:rFonts w:ascii="Arial" w:hAnsi="Arial" w:cs="Arial"/>
          <w:bCs/>
          <w:sz w:val="20"/>
          <w:szCs w:val="20"/>
        </w:rPr>
        <w:t>he CMS proposes that at least 50% of the resident’s training over the duration of the program must occur at the location in the HPSA. The CMS proceeds to propose further prioritization using the</w:t>
      </w:r>
      <w:r w:rsidR="00F75EDB">
        <w:rPr>
          <w:rFonts w:ascii="Arial" w:hAnsi="Arial" w:cs="Arial"/>
          <w:bCs/>
          <w:sz w:val="20"/>
          <w:szCs w:val="20"/>
        </w:rPr>
        <w:t xml:space="preserve"> 4</w:t>
      </w:r>
      <w:r w:rsidR="007D31DC" w:rsidRPr="00216A78">
        <w:rPr>
          <w:rFonts w:ascii="Arial" w:hAnsi="Arial" w:cs="Arial"/>
          <w:bCs/>
          <w:sz w:val="20"/>
          <w:szCs w:val="20"/>
        </w:rPr>
        <w:t xml:space="preserve"> statutory criteria based on residency programs that provide services to medically underserved populations in a </w:t>
      </w:r>
      <w:proofErr w:type="gramStart"/>
      <w:r w:rsidR="007D31DC" w:rsidRPr="00216A78">
        <w:rPr>
          <w:rFonts w:ascii="Arial" w:hAnsi="Arial" w:cs="Arial"/>
          <w:bCs/>
          <w:sz w:val="20"/>
          <w:szCs w:val="20"/>
        </w:rPr>
        <w:t>population-based</w:t>
      </w:r>
      <w:proofErr w:type="gramEnd"/>
      <w:r w:rsidR="007D31DC" w:rsidRPr="00216A78">
        <w:rPr>
          <w:rFonts w:ascii="Arial" w:hAnsi="Arial" w:cs="Arial"/>
          <w:bCs/>
          <w:sz w:val="20"/>
          <w:szCs w:val="20"/>
        </w:rPr>
        <w:t xml:space="preserve"> HPSA and would </w:t>
      </w:r>
      <w:r w:rsidRPr="00216A78">
        <w:rPr>
          <w:rFonts w:ascii="Arial" w:hAnsi="Arial" w:cs="Arial"/>
          <w:bCs/>
          <w:sz w:val="20"/>
          <w:szCs w:val="20"/>
        </w:rPr>
        <w:t>use</w:t>
      </w:r>
      <w:r w:rsidR="007D31DC" w:rsidRPr="00216A78">
        <w:rPr>
          <w:rFonts w:ascii="Arial" w:hAnsi="Arial" w:cs="Arial"/>
          <w:bCs/>
          <w:sz w:val="20"/>
          <w:szCs w:val="20"/>
        </w:rPr>
        <w:t xml:space="preserve"> higher HPSA scores indicating a more severe HPSA.</w:t>
      </w:r>
    </w:p>
    <w:p w14:paraId="2CD68DEB" w14:textId="77777777" w:rsidR="007D31DC" w:rsidRDefault="007D31DC" w:rsidP="007D31DC">
      <w:pPr>
        <w:rPr>
          <w:rFonts w:cs="TimesNewRoman"/>
          <w:b/>
          <w:sz w:val="22"/>
          <w:szCs w:val="22"/>
        </w:rPr>
      </w:pPr>
    </w:p>
    <w:p w14:paraId="3E0F4484" w14:textId="0445DA10" w:rsidR="007D31DC" w:rsidRPr="00216A78" w:rsidRDefault="007D31DC"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R</w:t>
      </w:r>
      <w:r w:rsidR="00216A78">
        <w:rPr>
          <w:rFonts w:ascii="Arial" w:hAnsi="Arial" w:cs="Arial"/>
          <w:b/>
          <w:i/>
          <w:iCs/>
          <w:color w:val="000000"/>
          <w:sz w:val="20"/>
          <w:szCs w:val="20"/>
          <w:u w:val="single"/>
        </w:rPr>
        <w:t>evise the HPSA Definition</w:t>
      </w:r>
      <w:r w:rsidRPr="00216A78">
        <w:rPr>
          <w:rFonts w:ascii="Arial" w:hAnsi="Arial" w:cs="Arial"/>
          <w:b/>
          <w:i/>
          <w:iCs/>
          <w:color w:val="000000"/>
          <w:sz w:val="20"/>
          <w:szCs w:val="20"/>
          <w:u w:val="single"/>
        </w:rPr>
        <w:t xml:space="preserve"> </w:t>
      </w:r>
    </w:p>
    <w:p w14:paraId="6AC4551E" w14:textId="40EBA4A2" w:rsidR="007D31DC" w:rsidRDefault="007D31DC" w:rsidP="007D31DC">
      <w:pPr>
        <w:rPr>
          <w:rFonts w:cs="TimesNewRoman"/>
          <w:sz w:val="22"/>
          <w:szCs w:val="22"/>
        </w:rPr>
      </w:pPr>
      <w:r w:rsidRPr="0038648A">
        <w:rPr>
          <w:rFonts w:ascii="Arial" w:hAnsi="Arial" w:cs="Arial"/>
          <w:bCs/>
          <w:sz w:val="20"/>
          <w:szCs w:val="20"/>
        </w:rPr>
        <w:t xml:space="preserve">If the CMS opts to move forward with the proposed prioritization policy, the MHA urges the agency to provide clarification regarding whether there is any difference in prioritization between a primary care or mental health </w:t>
      </w:r>
      <w:r w:rsidRPr="00F75EDB">
        <w:rPr>
          <w:rFonts w:ascii="Arial" w:hAnsi="Arial" w:cs="Arial"/>
          <w:b/>
          <w:i/>
          <w:iCs/>
          <w:sz w:val="20"/>
          <w:szCs w:val="20"/>
        </w:rPr>
        <w:t>geographic HPSA</w:t>
      </w:r>
      <w:r w:rsidRPr="0038648A">
        <w:rPr>
          <w:rFonts w:ascii="Arial" w:hAnsi="Arial" w:cs="Arial"/>
          <w:bCs/>
          <w:sz w:val="20"/>
          <w:szCs w:val="20"/>
        </w:rPr>
        <w:t xml:space="preserve"> and a </w:t>
      </w:r>
      <w:proofErr w:type="gramStart"/>
      <w:r w:rsidRPr="00F75EDB">
        <w:rPr>
          <w:rFonts w:ascii="Arial" w:hAnsi="Arial" w:cs="Arial"/>
          <w:b/>
          <w:i/>
          <w:iCs/>
          <w:sz w:val="20"/>
          <w:szCs w:val="20"/>
        </w:rPr>
        <w:t>population-based</w:t>
      </w:r>
      <w:proofErr w:type="gramEnd"/>
      <w:r w:rsidRPr="00F75EDB">
        <w:rPr>
          <w:rFonts w:ascii="Arial" w:hAnsi="Arial" w:cs="Arial"/>
          <w:b/>
          <w:i/>
          <w:iCs/>
          <w:sz w:val="20"/>
          <w:szCs w:val="20"/>
        </w:rPr>
        <w:t xml:space="preserve"> HPSA</w:t>
      </w:r>
      <w:r w:rsidRPr="0038648A">
        <w:rPr>
          <w:rFonts w:ascii="Arial" w:hAnsi="Arial" w:cs="Arial"/>
          <w:bCs/>
          <w:sz w:val="20"/>
          <w:szCs w:val="20"/>
        </w:rPr>
        <w:t xml:space="preserve">.  The process is unclear and confusing and assumes that a hospital qualifies under a geographic </w:t>
      </w:r>
      <w:r w:rsidR="008F5A40" w:rsidRPr="0038648A">
        <w:rPr>
          <w:rFonts w:ascii="Arial" w:hAnsi="Arial" w:cs="Arial"/>
          <w:bCs/>
          <w:sz w:val="20"/>
          <w:szCs w:val="20"/>
        </w:rPr>
        <w:t>OR</w:t>
      </w:r>
      <w:r w:rsidRPr="0038648A">
        <w:rPr>
          <w:rFonts w:ascii="Arial" w:hAnsi="Arial" w:cs="Arial"/>
          <w:bCs/>
          <w:sz w:val="20"/>
          <w:szCs w:val="20"/>
        </w:rPr>
        <w:t xml:space="preserve"> </w:t>
      </w:r>
      <w:proofErr w:type="gramStart"/>
      <w:r w:rsidRPr="0038648A">
        <w:rPr>
          <w:rFonts w:ascii="Arial" w:hAnsi="Arial" w:cs="Arial"/>
          <w:bCs/>
          <w:sz w:val="20"/>
          <w:szCs w:val="20"/>
        </w:rPr>
        <w:t>population-based</w:t>
      </w:r>
      <w:proofErr w:type="gramEnd"/>
      <w:r w:rsidRPr="0038648A">
        <w:rPr>
          <w:rFonts w:ascii="Arial" w:hAnsi="Arial" w:cs="Arial"/>
          <w:bCs/>
          <w:sz w:val="20"/>
          <w:szCs w:val="20"/>
        </w:rPr>
        <w:t xml:space="preserve"> HPSA for primary care and mental health.  If this </w:t>
      </w:r>
      <w:r w:rsidR="008F5A40" w:rsidRPr="0038648A">
        <w:rPr>
          <w:rFonts w:ascii="Arial" w:hAnsi="Arial" w:cs="Arial"/>
          <w:bCs/>
          <w:sz w:val="20"/>
          <w:szCs w:val="20"/>
        </w:rPr>
        <w:t>i</w:t>
      </w:r>
      <w:r w:rsidRPr="0038648A">
        <w:rPr>
          <w:rFonts w:ascii="Arial" w:hAnsi="Arial" w:cs="Arial"/>
          <w:bCs/>
          <w:sz w:val="20"/>
          <w:szCs w:val="20"/>
        </w:rPr>
        <w:t xml:space="preserve">s not the intent, the MHA urges the CMS to revise its definition to not limit HPSAs to only geographic but to include both geographic and </w:t>
      </w:r>
      <w:proofErr w:type="gramStart"/>
      <w:r w:rsidRPr="0038648A">
        <w:rPr>
          <w:rFonts w:ascii="Arial" w:hAnsi="Arial" w:cs="Arial"/>
          <w:bCs/>
          <w:sz w:val="20"/>
          <w:szCs w:val="20"/>
        </w:rPr>
        <w:t>population-based</w:t>
      </w:r>
      <w:proofErr w:type="gramEnd"/>
      <w:r w:rsidRPr="0038648A">
        <w:rPr>
          <w:rFonts w:ascii="Arial" w:hAnsi="Arial" w:cs="Arial"/>
          <w:bCs/>
          <w:sz w:val="20"/>
          <w:szCs w:val="20"/>
        </w:rPr>
        <w:t xml:space="preserve"> HPSAs for eligibility.</w:t>
      </w:r>
      <w:r>
        <w:rPr>
          <w:rFonts w:cs="TimesNewRoman"/>
          <w:sz w:val="22"/>
          <w:szCs w:val="22"/>
        </w:rPr>
        <w:t xml:space="preserve"> </w:t>
      </w:r>
    </w:p>
    <w:p w14:paraId="09023F96" w14:textId="77777777" w:rsidR="007D31DC" w:rsidRDefault="007D31DC" w:rsidP="007D31DC">
      <w:pPr>
        <w:rPr>
          <w:rFonts w:cs="TimesNewRoman"/>
          <w:sz w:val="22"/>
          <w:szCs w:val="22"/>
        </w:rPr>
      </w:pPr>
    </w:p>
    <w:p w14:paraId="364E0F52" w14:textId="01341511" w:rsidR="007D31DC" w:rsidRPr="005C3462" w:rsidRDefault="007D31DC" w:rsidP="007D31DC">
      <w:pPr>
        <w:rPr>
          <w:rFonts w:ascii="Arial" w:hAnsi="Arial" w:cs="Arial"/>
          <w:b/>
          <w:sz w:val="20"/>
          <w:szCs w:val="20"/>
        </w:rPr>
      </w:pPr>
      <w:r w:rsidRPr="005C3462">
        <w:rPr>
          <w:rFonts w:ascii="Arial" w:hAnsi="Arial" w:cs="Arial"/>
          <w:bCs/>
          <w:sz w:val="20"/>
          <w:szCs w:val="20"/>
        </w:rPr>
        <w:t xml:space="preserve">The MHA believes that the intention of the CAA was to prioritize hospitals that serve HPSAs even if they are not located within the geographic boundaries of the HPSA.  Patients who </w:t>
      </w:r>
      <w:r w:rsidR="008F5A40">
        <w:rPr>
          <w:rFonts w:ascii="Arial" w:hAnsi="Arial" w:cs="Arial"/>
          <w:bCs/>
          <w:sz w:val="20"/>
          <w:szCs w:val="20"/>
        </w:rPr>
        <w:t xml:space="preserve">live </w:t>
      </w:r>
      <w:r w:rsidRPr="005C3462">
        <w:rPr>
          <w:rFonts w:ascii="Arial" w:hAnsi="Arial" w:cs="Arial"/>
          <w:bCs/>
          <w:sz w:val="20"/>
          <w:szCs w:val="20"/>
        </w:rPr>
        <w:t xml:space="preserve">in a HPSA may choose a </w:t>
      </w:r>
      <w:r w:rsidR="008F5A40">
        <w:rPr>
          <w:rFonts w:ascii="Arial" w:hAnsi="Arial" w:cs="Arial"/>
          <w:bCs/>
          <w:sz w:val="20"/>
          <w:szCs w:val="20"/>
        </w:rPr>
        <w:t xml:space="preserve">nearby </w:t>
      </w:r>
      <w:r w:rsidRPr="005C3462">
        <w:rPr>
          <w:rFonts w:ascii="Arial" w:hAnsi="Arial" w:cs="Arial"/>
          <w:bCs/>
          <w:sz w:val="20"/>
          <w:szCs w:val="20"/>
        </w:rPr>
        <w:t xml:space="preserve">teaching hospital </w:t>
      </w:r>
      <w:r w:rsidR="008F5A40">
        <w:rPr>
          <w:rFonts w:ascii="Arial" w:hAnsi="Arial" w:cs="Arial"/>
          <w:bCs/>
          <w:sz w:val="20"/>
          <w:szCs w:val="20"/>
        </w:rPr>
        <w:t>that is</w:t>
      </w:r>
      <w:r w:rsidRPr="005C3462">
        <w:rPr>
          <w:rFonts w:ascii="Arial" w:hAnsi="Arial" w:cs="Arial"/>
          <w:bCs/>
          <w:sz w:val="20"/>
          <w:szCs w:val="20"/>
        </w:rPr>
        <w:t xml:space="preserve"> not located in a HPSA, due to </w:t>
      </w:r>
      <w:r w:rsidR="00F75EDB">
        <w:rPr>
          <w:rFonts w:ascii="Arial" w:hAnsi="Arial" w:cs="Arial"/>
          <w:bCs/>
          <w:sz w:val="20"/>
          <w:szCs w:val="20"/>
        </w:rPr>
        <w:t xml:space="preserve">availability of </w:t>
      </w:r>
      <w:r w:rsidRPr="005C3462">
        <w:rPr>
          <w:rFonts w:ascii="Arial" w:hAnsi="Arial" w:cs="Arial"/>
          <w:bCs/>
          <w:sz w:val="20"/>
          <w:szCs w:val="20"/>
        </w:rPr>
        <w:t>services</w:t>
      </w:r>
      <w:r w:rsidR="00F75EDB">
        <w:rPr>
          <w:rFonts w:ascii="Arial" w:hAnsi="Arial" w:cs="Arial"/>
          <w:bCs/>
          <w:sz w:val="20"/>
          <w:szCs w:val="20"/>
        </w:rPr>
        <w:t xml:space="preserve">, </w:t>
      </w:r>
      <w:r w:rsidRPr="005C3462">
        <w:rPr>
          <w:rFonts w:ascii="Arial" w:hAnsi="Arial" w:cs="Arial"/>
          <w:bCs/>
          <w:sz w:val="20"/>
          <w:szCs w:val="20"/>
        </w:rPr>
        <w:t>convenience</w:t>
      </w:r>
      <w:r w:rsidR="00045AC2">
        <w:rPr>
          <w:rFonts w:ascii="Arial" w:hAnsi="Arial" w:cs="Arial"/>
          <w:bCs/>
          <w:sz w:val="20"/>
          <w:szCs w:val="20"/>
        </w:rPr>
        <w:t>,</w:t>
      </w:r>
      <w:r w:rsidRPr="005C3462">
        <w:rPr>
          <w:rFonts w:ascii="Arial" w:hAnsi="Arial" w:cs="Arial"/>
          <w:bCs/>
          <w:sz w:val="20"/>
          <w:szCs w:val="20"/>
        </w:rPr>
        <w:t xml:space="preserve"> and proximity to their home. </w:t>
      </w:r>
      <w:r w:rsidRPr="005C3462">
        <w:rPr>
          <w:rFonts w:ascii="Arial" w:hAnsi="Arial" w:cs="Arial"/>
          <w:b/>
          <w:sz w:val="20"/>
          <w:szCs w:val="20"/>
        </w:rPr>
        <w:t>The MHA opposes the requirement that the hospital or provider-based department be physically located in a HPSA and recommend</w:t>
      </w:r>
      <w:r w:rsidR="008342AA" w:rsidRPr="005C3462">
        <w:rPr>
          <w:rFonts w:ascii="Arial" w:hAnsi="Arial" w:cs="Arial"/>
          <w:b/>
          <w:sz w:val="20"/>
          <w:szCs w:val="20"/>
        </w:rPr>
        <w:t>s</w:t>
      </w:r>
      <w:r w:rsidRPr="005C3462">
        <w:rPr>
          <w:rFonts w:ascii="Arial" w:hAnsi="Arial" w:cs="Arial"/>
          <w:b/>
          <w:sz w:val="20"/>
          <w:szCs w:val="20"/>
        </w:rPr>
        <w:t xml:space="preserve"> that </w:t>
      </w:r>
      <w:r w:rsidR="008342AA" w:rsidRPr="005C3462">
        <w:rPr>
          <w:rFonts w:ascii="Arial" w:hAnsi="Arial" w:cs="Arial"/>
          <w:b/>
          <w:sz w:val="20"/>
          <w:szCs w:val="20"/>
        </w:rPr>
        <w:t xml:space="preserve">the </w:t>
      </w:r>
      <w:r w:rsidRPr="005C3462">
        <w:rPr>
          <w:rFonts w:ascii="Arial" w:hAnsi="Arial" w:cs="Arial"/>
          <w:b/>
          <w:sz w:val="20"/>
          <w:szCs w:val="20"/>
        </w:rPr>
        <w:t xml:space="preserve">CMS revise its definition to allow hospitals </w:t>
      </w:r>
      <w:r w:rsidR="008342AA" w:rsidRPr="005C3462">
        <w:rPr>
          <w:rFonts w:ascii="Arial" w:hAnsi="Arial" w:cs="Arial"/>
          <w:b/>
          <w:sz w:val="20"/>
          <w:szCs w:val="20"/>
        </w:rPr>
        <w:t xml:space="preserve">outside of </w:t>
      </w:r>
      <w:r w:rsidRPr="005C3462">
        <w:rPr>
          <w:rFonts w:ascii="Arial" w:hAnsi="Arial" w:cs="Arial"/>
          <w:b/>
          <w:sz w:val="20"/>
          <w:szCs w:val="20"/>
        </w:rPr>
        <w:t xml:space="preserve">a HPSA to also </w:t>
      </w:r>
      <w:r w:rsidR="008342AA" w:rsidRPr="005C3462">
        <w:rPr>
          <w:rFonts w:ascii="Arial" w:hAnsi="Arial" w:cs="Arial"/>
          <w:b/>
          <w:sz w:val="20"/>
          <w:szCs w:val="20"/>
        </w:rPr>
        <w:t>be</w:t>
      </w:r>
      <w:r w:rsidRPr="005C3462">
        <w:rPr>
          <w:rFonts w:ascii="Arial" w:hAnsi="Arial" w:cs="Arial"/>
          <w:b/>
          <w:sz w:val="20"/>
          <w:szCs w:val="20"/>
        </w:rPr>
        <w:t xml:space="preserve"> </w:t>
      </w:r>
      <w:r w:rsidR="008342AA" w:rsidRPr="005C3462">
        <w:rPr>
          <w:rFonts w:ascii="Arial" w:hAnsi="Arial" w:cs="Arial"/>
          <w:b/>
          <w:sz w:val="20"/>
          <w:szCs w:val="20"/>
        </w:rPr>
        <w:t>eligible for</w:t>
      </w:r>
      <w:r w:rsidRPr="005C3462">
        <w:rPr>
          <w:rFonts w:ascii="Arial" w:hAnsi="Arial" w:cs="Arial"/>
          <w:b/>
          <w:sz w:val="20"/>
          <w:szCs w:val="20"/>
        </w:rPr>
        <w:t xml:space="preserve"> the new slots if located within a specified distance of the HPSA.</w:t>
      </w:r>
    </w:p>
    <w:p w14:paraId="6BAE8E9C" w14:textId="77777777" w:rsidR="007D31DC" w:rsidRDefault="007D31DC" w:rsidP="007D31DC">
      <w:pPr>
        <w:rPr>
          <w:rFonts w:cs="TimesNewRoman"/>
          <w:b/>
          <w:sz w:val="22"/>
          <w:szCs w:val="22"/>
        </w:rPr>
      </w:pPr>
    </w:p>
    <w:p w14:paraId="22A1DE00" w14:textId="4BC3C3D3" w:rsidR="007D31DC" w:rsidRPr="00216A78" w:rsidRDefault="007D31DC"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 xml:space="preserve">HPSA </w:t>
      </w:r>
      <w:r w:rsidR="00812D39" w:rsidRPr="00216A78">
        <w:rPr>
          <w:rFonts w:ascii="Arial" w:hAnsi="Arial" w:cs="Arial"/>
          <w:b/>
          <w:i/>
          <w:iCs/>
          <w:color w:val="000000"/>
          <w:sz w:val="20"/>
          <w:szCs w:val="20"/>
          <w:u w:val="single"/>
        </w:rPr>
        <w:t>S</w:t>
      </w:r>
      <w:r w:rsidR="00216A78">
        <w:rPr>
          <w:rFonts w:ascii="Arial" w:hAnsi="Arial" w:cs="Arial"/>
          <w:b/>
          <w:i/>
          <w:iCs/>
          <w:color w:val="000000"/>
          <w:sz w:val="20"/>
          <w:szCs w:val="20"/>
          <w:u w:val="single"/>
        </w:rPr>
        <w:t>core</w:t>
      </w:r>
    </w:p>
    <w:p w14:paraId="36CE6C0F" w14:textId="6DC87A18" w:rsidR="007D31DC" w:rsidRPr="005C3462" w:rsidRDefault="008342AA" w:rsidP="007D31DC">
      <w:pPr>
        <w:rPr>
          <w:rFonts w:ascii="Arial" w:hAnsi="Arial" w:cs="Arial"/>
          <w:bCs/>
          <w:sz w:val="20"/>
          <w:szCs w:val="20"/>
        </w:rPr>
      </w:pPr>
      <w:r w:rsidRPr="005C3462">
        <w:rPr>
          <w:rFonts w:ascii="Arial" w:hAnsi="Arial" w:cs="Arial"/>
          <w:b/>
          <w:sz w:val="20"/>
          <w:szCs w:val="20"/>
        </w:rPr>
        <w:t>The MHA</w:t>
      </w:r>
      <w:r w:rsidR="007D31DC" w:rsidRPr="005C3462">
        <w:rPr>
          <w:rFonts w:ascii="Arial" w:hAnsi="Arial" w:cs="Arial"/>
          <w:b/>
          <w:sz w:val="20"/>
          <w:szCs w:val="20"/>
        </w:rPr>
        <w:t xml:space="preserve"> opposes the use of HPSA score </w:t>
      </w:r>
      <w:r w:rsidRPr="005C3462">
        <w:rPr>
          <w:rFonts w:ascii="Arial" w:hAnsi="Arial" w:cs="Arial"/>
          <w:b/>
          <w:sz w:val="20"/>
          <w:szCs w:val="20"/>
        </w:rPr>
        <w:t>as the primary</w:t>
      </w:r>
      <w:r w:rsidR="007D31DC" w:rsidRPr="005C3462">
        <w:rPr>
          <w:rFonts w:ascii="Arial" w:hAnsi="Arial" w:cs="Arial"/>
          <w:b/>
          <w:sz w:val="20"/>
          <w:szCs w:val="20"/>
        </w:rPr>
        <w:t xml:space="preserve"> determining factor in distributing the</w:t>
      </w:r>
      <w:r w:rsidR="004C4CFC">
        <w:rPr>
          <w:rFonts w:ascii="Arial" w:hAnsi="Arial" w:cs="Arial"/>
          <w:b/>
          <w:sz w:val="20"/>
          <w:szCs w:val="20"/>
        </w:rPr>
        <w:t xml:space="preserve"> additional </w:t>
      </w:r>
      <w:r w:rsidR="007D31DC" w:rsidRPr="005C3462">
        <w:rPr>
          <w:rFonts w:ascii="Arial" w:hAnsi="Arial" w:cs="Arial"/>
          <w:b/>
          <w:sz w:val="20"/>
          <w:szCs w:val="20"/>
        </w:rPr>
        <w:t xml:space="preserve">awarded slots. </w:t>
      </w:r>
      <w:r w:rsidR="007D31DC" w:rsidRPr="005C3462">
        <w:rPr>
          <w:rFonts w:ascii="Arial" w:hAnsi="Arial" w:cs="Arial"/>
          <w:bCs/>
          <w:sz w:val="20"/>
          <w:szCs w:val="20"/>
        </w:rPr>
        <w:t xml:space="preserve"> While the CAA recognizes the need for underserved populations by creating Category 4 “hospitals that serve areas designated as HPSAs” it not does not prioritize this group over the other </w:t>
      </w:r>
      <w:r w:rsidR="00AF40C9">
        <w:rPr>
          <w:rFonts w:ascii="Arial" w:hAnsi="Arial" w:cs="Arial"/>
          <w:bCs/>
          <w:sz w:val="20"/>
          <w:szCs w:val="20"/>
        </w:rPr>
        <w:t>3</w:t>
      </w:r>
      <w:r w:rsidR="007D31DC" w:rsidRPr="005C3462">
        <w:rPr>
          <w:rFonts w:ascii="Arial" w:hAnsi="Arial" w:cs="Arial"/>
          <w:bCs/>
          <w:sz w:val="20"/>
          <w:szCs w:val="20"/>
        </w:rPr>
        <w:t xml:space="preserve"> statutory categories (i.e., rural, FTEs over the cap, states with new medical schools). HPSA scores were developed to determine priorities for the assignment of clinicians in a state </w:t>
      </w:r>
      <w:r w:rsidR="007409AA">
        <w:rPr>
          <w:rFonts w:ascii="Arial" w:hAnsi="Arial" w:cs="Arial"/>
          <w:bCs/>
          <w:sz w:val="20"/>
          <w:szCs w:val="20"/>
        </w:rPr>
        <w:t xml:space="preserve">rather than </w:t>
      </w:r>
      <w:r w:rsidR="007D31DC" w:rsidRPr="005C3462">
        <w:rPr>
          <w:rFonts w:ascii="Arial" w:hAnsi="Arial" w:cs="Arial"/>
          <w:bCs/>
          <w:sz w:val="20"/>
          <w:szCs w:val="20"/>
        </w:rPr>
        <w:t>determin</w:t>
      </w:r>
      <w:r w:rsidR="007409AA">
        <w:rPr>
          <w:rFonts w:ascii="Arial" w:hAnsi="Arial" w:cs="Arial"/>
          <w:bCs/>
          <w:sz w:val="20"/>
          <w:szCs w:val="20"/>
        </w:rPr>
        <w:t>ing</w:t>
      </w:r>
      <w:r w:rsidR="007D31DC" w:rsidRPr="005C3462">
        <w:rPr>
          <w:rFonts w:ascii="Arial" w:hAnsi="Arial" w:cs="Arial"/>
          <w:bCs/>
          <w:sz w:val="20"/>
          <w:szCs w:val="20"/>
        </w:rPr>
        <w:t xml:space="preserve"> the ability of the hospitals in those states to train more residents or to provide care for patients who live in HPSAs.  If the </w:t>
      </w:r>
      <w:r w:rsidRPr="005C3462">
        <w:rPr>
          <w:rFonts w:ascii="Arial" w:hAnsi="Arial" w:cs="Arial"/>
          <w:bCs/>
          <w:sz w:val="20"/>
          <w:szCs w:val="20"/>
        </w:rPr>
        <w:t>CMS</w:t>
      </w:r>
      <w:r w:rsidR="007D31DC" w:rsidRPr="005C3462">
        <w:rPr>
          <w:rFonts w:ascii="Arial" w:hAnsi="Arial" w:cs="Arial"/>
          <w:bCs/>
          <w:sz w:val="20"/>
          <w:szCs w:val="20"/>
        </w:rPr>
        <w:t xml:space="preserve"> </w:t>
      </w:r>
      <w:r w:rsidR="001A19AA">
        <w:rPr>
          <w:rFonts w:ascii="Arial" w:hAnsi="Arial" w:cs="Arial"/>
          <w:bCs/>
          <w:sz w:val="20"/>
          <w:szCs w:val="20"/>
        </w:rPr>
        <w:t>opts</w:t>
      </w:r>
      <w:r w:rsidR="007D31DC" w:rsidRPr="005C3462">
        <w:rPr>
          <w:rFonts w:ascii="Arial" w:hAnsi="Arial" w:cs="Arial"/>
          <w:bCs/>
          <w:sz w:val="20"/>
          <w:szCs w:val="20"/>
        </w:rPr>
        <w:t xml:space="preserve"> to narrow considerations, </w:t>
      </w:r>
      <w:r w:rsidRPr="005C3462">
        <w:rPr>
          <w:rFonts w:ascii="Arial" w:hAnsi="Arial" w:cs="Arial"/>
          <w:bCs/>
          <w:sz w:val="20"/>
          <w:szCs w:val="20"/>
        </w:rPr>
        <w:t>the agency</w:t>
      </w:r>
      <w:r w:rsidR="007D31DC" w:rsidRPr="005C3462">
        <w:rPr>
          <w:rFonts w:ascii="Arial" w:hAnsi="Arial" w:cs="Arial"/>
          <w:bCs/>
          <w:sz w:val="20"/>
          <w:szCs w:val="20"/>
        </w:rPr>
        <w:t xml:space="preserve"> can do so using the </w:t>
      </w:r>
      <w:proofErr w:type="gramStart"/>
      <w:r w:rsidR="007D31DC" w:rsidRPr="005C3462">
        <w:rPr>
          <w:rFonts w:ascii="Arial" w:hAnsi="Arial" w:cs="Arial"/>
          <w:bCs/>
          <w:sz w:val="20"/>
          <w:szCs w:val="20"/>
        </w:rPr>
        <w:t>population-based</w:t>
      </w:r>
      <w:proofErr w:type="gramEnd"/>
      <w:r w:rsidR="007D31DC" w:rsidRPr="005C3462">
        <w:rPr>
          <w:rFonts w:ascii="Arial" w:hAnsi="Arial" w:cs="Arial"/>
          <w:bCs/>
          <w:sz w:val="20"/>
          <w:szCs w:val="20"/>
        </w:rPr>
        <w:t xml:space="preserve"> HPSA</w:t>
      </w:r>
      <w:r w:rsidR="001A19AA">
        <w:rPr>
          <w:rFonts w:ascii="Arial" w:hAnsi="Arial" w:cs="Arial"/>
          <w:bCs/>
          <w:sz w:val="20"/>
          <w:szCs w:val="20"/>
        </w:rPr>
        <w:t>s</w:t>
      </w:r>
      <w:r w:rsidR="007D31DC" w:rsidRPr="005C3462">
        <w:rPr>
          <w:rFonts w:ascii="Arial" w:hAnsi="Arial" w:cs="Arial"/>
          <w:bCs/>
          <w:sz w:val="20"/>
          <w:szCs w:val="20"/>
        </w:rPr>
        <w:t xml:space="preserve"> </w:t>
      </w:r>
      <w:r w:rsidR="007409AA">
        <w:rPr>
          <w:rFonts w:ascii="Arial" w:hAnsi="Arial" w:cs="Arial"/>
          <w:bCs/>
          <w:sz w:val="20"/>
          <w:szCs w:val="20"/>
        </w:rPr>
        <w:t xml:space="preserve">instead of </w:t>
      </w:r>
      <w:r w:rsidR="007D31DC" w:rsidRPr="005C3462">
        <w:rPr>
          <w:rFonts w:ascii="Arial" w:hAnsi="Arial" w:cs="Arial"/>
          <w:bCs/>
          <w:sz w:val="20"/>
          <w:szCs w:val="20"/>
        </w:rPr>
        <w:t>HPSA score</w:t>
      </w:r>
      <w:r w:rsidR="007409AA">
        <w:rPr>
          <w:rFonts w:ascii="Arial" w:hAnsi="Arial" w:cs="Arial"/>
          <w:bCs/>
          <w:sz w:val="20"/>
          <w:szCs w:val="20"/>
        </w:rPr>
        <w:t>s</w:t>
      </w:r>
      <w:r w:rsidR="007D31DC" w:rsidRPr="005C3462">
        <w:rPr>
          <w:rFonts w:ascii="Arial" w:hAnsi="Arial" w:cs="Arial"/>
          <w:bCs/>
          <w:sz w:val="20"/>
          <w:szCs w:val="20"/>
        </w:rPr>
        <w:t xml:space="preserve"> to capture medically underserved areas that have too few primary care physicians, high poverty </w:t>
      </w:r>
      <w:r w:rsidR="001A19AA">
        <w:rPr>
          <w:rFonts w:ascii="Arial" w:hAnsi="Arial" w:cs="Arial"/>
          <w:bCs/>
          <w:sz w:val="20"/>
          <w:szCs w:val="20"/>
        </w:rPr>
        <w:t xml:space="preserve">rates </w:t>
      </w:r>
      <w:r w:rsidR="007D31DC" w:rsidRPr="005C3462">
        <w:rPr>
          <w:rFonts w:ascii="Arial" w:hAnsi="Arial" w:cs="Arial"/>
          <w:bCs/>
          <w:sz w:val="20"/>
          <w:szCs w:val="20"/>
        </w:rPr>
        <w:t xml:space="preserve">and </w:t>
      </w:r>
      <w:r w:rsidR="001A19AA">
        <w:rPr>
          <w:rFonts w:ascii="Arial" w:hAnsi="Arial" w:cs="Arial"/>
          <w:bCs/>
          <w:sz w:val="20"/>
          <w:szCs w:val="20"/>
        </w:rPr>
        <w:t xml:space="preserve">a </w:t>
      </w:r>
      <w:r w:rsidR="007D31DC" w:rsidRPr="005C3462">
        <w:rPr>
          <w:rFonts w:ascii="Arial" w:hAnsi="Arial" w:cs="Arial"/>
          <w:bCs/>
          <w:sz w:val="20"/>
          <w:szCs w:val="20"/>
        </w:rPr>
        <w:t xml:space="preserve">high elderly population.  </w:t>
      </w:r>
    </w:p>
    <w:p w14:paraId="28144EEC" w14:textId="77777777" w:rsidR="007D31DC" w:rsidRDefault="007D31DC" w:rsidP="007D31DC">
      <w:pPr>
        <w:rPr>
          <w:rFonts w:cs="TimesNewRoman"/>
          <w:sz w:val="22"/>
          <w:szCs w:val="22"/>
        </w:rPr>
      </w:pPr>
    </w:p>
    <w:p w14:paraId="2E24748C" w14:textId="77777777" w:rsidR="007D31DC" w:rsidRPr="00216A78" w:rsidRDefault="007D31DC"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 xml:space="preserve">Requirement that at least 50% training occur at location in </w:t>
      </w:r>
      <w:proofErr w:type="gramStart"/>
      <w:r w:rsidRPr="00216A78">
        <w:rPr>
          <w:rFonts w:ascii="Arial" w:hAnsi="Arial" w:cs="Arial"/>
          <w:b/>
          <w:i/>
          <w:iCs/>
          <w:color w:val="000000"/>
          <w:sz w:val="20"/>
          <w:szCs w:val="20"/>
          <w:u w:val="single"/>
        </w:rPr>
        <w:t>HPSA</w:t>
      </w:r>
      <w:proofErr w:type="gramEnd"/>
    </w:p>
    <w:p w14:paraId="4797FD45" w14:textId="119BB038" w:rsidR="007D31DC" w:rsidRPr="005C3462" w:rsidRDefault="008342AA" w:rsidP="007D31DC">
      <w:pPr>
        <w:rPr>
          <w:rFonts w:ascii="Arial" w:hAnsi="Arial" w:cs="Arial"/>
          <w:bCs/>
          <w:sz w:val="20"/>
          <w:szCs w:val="20"/>
        </w:rPr>
      </w:pPr>
      <w:r w:rsidRPr="005C3462">
        <w:rPr>
          <w:rFonts w:ascii="Arial" w:hAnsi="Arial" w:cs="Arial"/>
          <w:b/>
          <w:sz w:val="20"/>
          <w:szCs w:val="20"/>
        </w:rPr>
        <w:t>The MHA</w:t>
      </w:r>
      <w:r w:rsidR="007D31DC" w:rsidRPr="005C3462">
        <w:rPr>
          <w:rFonts w:ascii="Arial" w:hAnsi="Arial" w:cs="Arial"/>
          <w:b/>
          <w:sz w:val="20"/>
          <w:szCs w:val="20"/>
        </w:rPr>
        <w:t xml:space="preserve"> opposes </w:t>
      </w:r>
      <w:r w:rsidRPr="005C3462">
        <w:rPr>
          <w:rFonts w:ascii="Arial" w:hAnsi="Arial" w:cs="Arial"/>
          <w:b/>
          <w:sz w:val="20"/>
          <w:szCs w:val="20"/>
        </w:rPr>
        <w:t xml:space="preserve">the </w:t>
      </w:r>
      <w:r w:rsidR="007D31DC" w:rsidRPr="005C3462">
        <w:rPr>
          <w:rFonts w:ascii="Arial" w:hAnsi="Arial" w:cs="Arial"/>
          <w:b/>
          <w:sz w:val="20"/>
          <w:szCs w:val="20"/>
        </w:rPr>
        <w:t xml:space="preserve">CMS requirement </w:t>
      </w:r>
      <w:r w:rsidRPr="005C3462">
        <w:rPr>
          <w:rFonts w:ascii="Arial" w:hAnsi="Arial" w:cs="Arial"/>
          <w:b/>
          <w:sz w:val="20"/>
          <w:szCs w:val="20"/>
        </w:rPr>
        <w:t>that</w:t>
      </w:r>
      <w:r w:rsidR="007D31DC" w:rsidRPr="005C3462">
        <w:rPr>
          <w:rFonts w:ascii="Arial" w:hAnsi="Arial" w:cs="Arial"/>
          <w:b/>
          <w:sz w:val="20"/>
          <w:szCs w:val="20"/>
        </w:rPr>
        <w:t xml:space="preserve"> at least 50% of the resident’s training time be in the HPSA.</w:t>
      </w:r>
      <w:r w:rsidR="007D31DC" w:rsidRPr="005C3462">
        <w:rPr>
          <w:rFonts w:ascii="Arial" w:hAnsi="Arial" w:cs="Arial"/>
          <w:bCs/>
          <w:sz w:val="20"/>
          <w:szCs w:val="20"/>
        </w:rPr>
        <w:t xml:space="preserve">  Unlike the rural training track program, the CAA does not include a</w:t>
      </w:r>
      <w:r w:rsidR="007D31DC">
        <w:rPr>
          <w:rFonts w:cs="TimesNewRoman"/>
          <w:sz w:val="22"/>
          <w:szCs w:val="22"/>
        </w:rPr>
        <w:t xml:space="preserve"> </w:t>
      </w:r>
      <w:r w:rsidR="007D31DC" w:rsidRPr="005C3462">
        <w:rPr>
          <w:rFonts w:ascii="Arial" w:hAnsi="Arial" w:cs="Arial"/>
          <w:bCs/>
          <w:sz w:val="20"/>
          <w:szCs w:val="20"/>
        </w:rPr>
        <w:t xml:space="preserve">training location requirement, therefore </w:t>
      </w:r>
      <w:r w:rsidRPr="005C3462">
        <w:rPr>
          <w:rFonts w:ascii="Arial" w:hAnsi="Arial" w:cs="Arial"/>
          <w:bCs/>
          <w:sz w:val="20"/>
          <w:szCs w:val="20"/>
        </w:rPr>
        <w:t xml:space="preserve">the </w:t>
      </w:r>
      <w:r w:rsidR="007D31DC" w:rsidRPr="005C3462">
        <w:rPr>
          <w:rFonts w:ascii="Arial" w:hAnsi="Arial" w:cs="Arial"/>
          <w:bCs/>
          <w:sz w:val="20"/>
          <w:szCs w:val="20"/>
        </w:rPr>
        <w:t xml:space="preserve">CMS should not limit providers by dictating where the training occurs </w:t>
      </w:r>
      <w:r w:rsidR="007409AA">
        <w:rPr>
          <w:rFonts w:ascii="Arial" w:hAnsi="Arial" w:cs="Arial"/>
          <w:bCs/>
          <w:sz w:val="20"/>
          <w:szCs w:val="20"/>
        </w:rPr>
        <w:t>for consideration</w:t>
      </w:r>
      <w:r w:rsidR="007D31DC" w:rsidRPr="005C3462">
        <w:rPr>
          <w:rFonts w:ascii="Arial" w:hAnsi="Arial" w:cs="Arial"/>
          <w:bCs/>
          <w:sz w:val="20"/>
          <w:szCs w:val="20"/>
        </w:rPr>
        <w:t xml:space="preserve"> </w:t>
      </w:r>
      <w:r w:rsidR="00A53A43">
        <w:rPr>
          <w:rFonts w:ascii="Arial" w:hAnsi="Arial" w:cs="Arial"/>
          <w:bCs/>
          <w:sz w:val="20"/>
          <w:szCs w:val="20"/>
        </w:rPr>
        <w:t>o</w:t>
      </w:r>
      <w:r w:rsidR="007D31DC" w:rsidRPr="005C3462">
        <w:rPr>
          <w:rFonts w:ascii="Arial" w:hAnsi="Arial" w:cs="Arial"/>
          <w:bCs/>
          <w:sz w:val="20"/>
          <w:szCs w:val="20"/>
        </w:rPr>
        <w:t xml:space="preserve">f these new residency slots. Accreditation standards ensure that residents train in locations with a large enough population to provide them with the necessary mix of patients and conditions for their specialty. </w:t>
      </w:r>
      <w:r w:rsidR="005C3462">
        <w:rPr>
          <w:rFonts w:ascii="Arial" w:hAnsi="Arial" w:cs="Arial"/>
          <w:bCs/>
          <w:sz w:val="20"/>
          <w:szCs w:val="20"/>
        </w:rPr>
        <w:t>T</w:t>
      </w:r>
      <w:r w:rsidRPr="005C3462">
        <w:rPr>
          <w:rFonts w:ascii="Arial" w:hAnsi="Arial" w:cs="Arial"/>
          <w:bCs/>
          <w:sz w:val="20"/>
          <w:szCs w:val="20"/>
        </w:rPr>
        <w:t xml:space="preserve">he </w:t>
      </w:r>
      <w:r w:rsidR="007D31DC" w:rsidRPr="005C3462">
        <w:rPr>
          <w:rFonts w:ascii="Arial" w:hAnsi="Arial" w:cs="Arial"/>
          <w:bCs/>
          <w:sz w:val="20"/>
          <w:szCs w:val="20"/>
        </w:rPr>
        <w:t>CMS should not limit providers since teaching hospitals are best positioned to determine the locations in which to train residents and meet the required needs of the</w:t>
      </w:r>
      <w:r w:rsidRPr="005C3462">
        <w:rPr>
          <w:rFonts w:ascii="Arial" w:hAnsi="Arial" w:cs="Arial"/>
          <w:bCs/>
          <w:sz w:val="20"/>
          <w:szCs w:val="20"/>
        </w:rPr>
        <w:t>ir communities</w:t>
      </w:r>
      <w:r w:rsidR="007D31DC" w:rsidRPr="005C3462">
        <w:rPr>
          <w:rFonts w:ascii="Arial" w:hAnsi="Arial" w:cs="Arial"/>
          <w:bCs/>
          <w:sz w:val="20"/>
          <w:szCs w:val="20"/>
        </w:rPr>
        <w:t>.</w:t>
      </w:r>
    </w:p>
    <w:p w14:paraId="2CDC14D0" w14:textId="77777777" w:rsidR="007D31DC" w:rsidRPr="005C3462" w:rsidRDefault="007D31DC" w:rsidP="007D31DC">
      <w:pPr>
        <w:rPr>
          <w:rFonts w:ascii="Arial" w:hAnsi="Arial" w:cs="Arial"/>
          <w:bCs/>
          <w:sz w:val="20"/>
          <w:szCs w:val="20"/>
        </w:rPr>
      </w:pPr>
    </w:p>
    <w:p w14:paraId="121733C0" w14:textId="4550BE50" w:rsidR="007D31DC" w:rsidRPr="005C3462" w:rsidRDefault="00216A78" w:rsidP="007D31DC">
      <w:pPr>
        <w:rPr>
          <w:rFonts w:ascii="Arial" w:hAnsi="Arial" w:cs="Arial"/>
          <w:b/>
          <w:sz w:val="20"/>
          <w:szCs w:val="20"/>
        </w:rPr>
      </w:pPr>
      <w:r>
        <w:rPr>
          <w:rFonts w:ascii="Arial" w:hAnsi="Arial" w:cs="Arial"/>
          <w:b/>
          <w:sz w:val="20"/>
          <w:szCs w:val="20"/>
        </w:rPr>
        <w:t>In summary, t</w:t>
      </w:r>
      <w:r w:rsidR="008342AA" w:rsidRPr="005C3462">
        <w:rPr>
          <w:rFonts w:ascii="Arial" w:hAnsi="Arial" w:cs="Arial"/>
          <w:b/>
          <w:sz w:val="20"/>
          <w:szCs w:val="20"/>
        </w:rPr>
        <w:t>he MHA</w:t>
      </w:r>
      <w:r w:rsidR="007D31DC" w:rsidRPr="005C3462">
        <w:rPr>
          <w:rFonts w:ascii="Arial" w:hAnsi="Arial" w:cs="Arial"/>
          <w:b/>
          <w:sz w:val="20"/>
          <w:szCs w:val="20"/>
        </w:rPr>
        <w:t xml:space="preserve"> urges </w:t>
      </w:r>
      <w:r w:rsidR="008342AA" w:rsidRPr="005C3462">
        <w:rPr>
          <w:rFonts w:ascii="Arial" w:hAnsi="Arial" w:cs="Arial"/>
          <w:b/>
          <w:sz w:val="20"/>
          <w:szCs w:val="20"/>
        </w:rPr>
        <w:t xml:space="preserve">the </w:t>
      </w:r>
      <w:r w:rsidR="007D31DC" w:rsidRPr="005C3462">
        <w:rPr>
          <w:rFonts w:ascii="Arial" w:hAnsi="Arial" w:cs="Arial"/>
          <w:b/>
          <w:sz w:val="20"/>
          <w:szCs w:val="20"/>
        </w:rPr>
        <w:t>CMS to consider our recommendations regarding HPSAs:</w:t>
      </w:r>
    </w:p>
    <w:p w14:paraId="1F290B78" w14:textId="3BF64E53" w:rsidR="007D31DC" w:rsidRPr="005C3462" w:rsidRDefault="007D31DC" w:rsidP="005C3462">
      <w:pPr>
        <w:pStyle w:val="ListParagraph"/>
        <w:numPr>
          <w:ilvl w:val="0"/>
          <w:numId w:val="22"/>
        </w:numPr>
        <w:rPr>
          <w:rFonts w:ascii="Arial" w:hAnsi="Arial" w:cs="Arial"/>
          <w:b/>
          <w:sz w:val="20"/>
          <w:szCs w:val="20"/>
        </w:rPr>
      </w:pPr>
      <w:r w:rsidRPr="005C3462">
        <w:rPr>
          <w:rFonts w:ascii="Arial" w:hAnsi="Arial" w:cs="Arial"/>
          <w:b/>
          <w:sz w:val="20"/>
          <w:szCs w:val="20"/>
        </w:rPr>
        <w:t xml:space="preserve">Revise the definition of the HPSA category to include both geographic </w:t>
      </w:r>
      <w:r w:rsidR="0026157D" w:rsidRPr="0026157D">
        <w:rPr>
          <w:rFonts w:ascii="Arial" w:hAnsi="Arial" w:cs="Arial"/>
          <w:b/>
          <w:sz w:val="20"/>
          <w:szCs w:val="20"/>
          <w:u w:val="single"/>
        </w:rPr>
        <w:t>and</w:t>
      </w:r>
      <w:r w:rsidRPr="005C3462">
        <w:rPr>
          <w:rFonts w:ascii="Arial" w:hAnsi="Arial" w:cs="Arial"/>
          <w:b/>
          <w:sz w:val="20"/>
          <w:szCs w:val="20"/>
        </w:rPr>
        <w:t xml:space="preserve"> population-based primary care </w:t>
      </w:r>
      <w:r w:rsidR="0026157D">
        <w:rPr>
          <w:rFonts w:ascii="Arial" w:hAnsi="Arial" w:cs="Arial"/>
          <w:b/>
          <w:sz w:val="20"/>
          <w:szCs w:val="20"/>
        </w:rPr>
        <w:t>and</w:t>
      </w:r>
      <w:r w:rsidRPr="005C3462">
        <w:rPr>
          <w:rFonts w:ascii="Arial" w:hAnsi="Arial" w:cs="Arial"/>
          <w:b/>
          <w:sz w:val="20"/>
          <w:szCs w:val="20"/>
        </w:rPr>
        <w:t xml:space="preserve"> mental health </w:t>
      </w:r>
      <w:proofErr w:type="gramStart"/>
      <w:r w:rsidRPr="005C3462">
        <w:rPr>
          <w:rFonts w:ascii="Arial" w:hAnsi="Arial" w:cs="Arial"/>
          <w:b/>
          <w:sz w:val="20"/>
          <w:szCs w:val="20"/>
        </w:rPr>
        <w:t>HPSAs;</w:t>
      </w:r>
      <w:proofErr w:type="gramEnd"/>
      <w:r w:rsidRPr="005C3462">
        <w:rPr>
          <w:rFonts w:ascii="Arial" w:hAnsi="Arial" w:cs="Arial"/>
          <w:b/>
          <w:sz w:val="20"/>
          <w:szCs w:val="20"/>
        </w:rPr>
        <w:t xml:space="preserve"> </w:t>
      </w:r>
    </w:p>
    <w:p w14:paraId="04A9AF59" w14:textId="517A5526" w:rsidR="007D31DC" w:rsidRPr="005C3462" w:rsidRDefault="007D31DC" w:rsidP="005C3462">
      <w:pPr>
        <w:pStyle w:val="ListParagraph"/>
        <w:numPr>
          <w:ilvl w:val="0"/>
          <w:numId w:val="22"/>
        </w:numPr>
        <w:rPr>
          <w:rFonts w:ascii="Arial" w:hAnsi="Arial" w:cs="Arial"/>
          <w:b/>
          <w:sz w:val="20"/>
          <w:szCs w:val="20"/>
        </w:rPr>
      </w:pPr>
      <w:r w:rsidRPr="005C3462">
        <w:rPr>
          <w:rFonts w:ascii="Arial" w:hAnsi="Arial" w:cs="Arial"/>
          <w:b/>
          <w:sz w:val="20"/>
          <w:szCs w:val="20"/>
        </w:rPr>
        <w:t xml:space="preserve">Expand the definition to allow hospitals that are not located in a HPSA but </w:t>
      </w:r>
      <w:r w:rsidR="007409AA">
        <w:rPr>
          <w:rFonts w:ascii="Arial" w:hAnsi="Arial" w:cs="Arial"/>
          <w:b/>
          <w:sz w:val="20"/>
          <w:szCs w:val="20"/>
        </w:rPr>
        <w:t xml:space="preserve">are </w:t>
      </w:r>
      <w:r w:rsidRPr="005C3462">
        <w:rPr>
          <w:rFonts w:ascii="Arial" w:hAnsi="Arial" w:cs="Arial"/>
          <w:b/>
          <w:sz w:val="20"/>
          <w:szCs w:val="20"/>
        </w:rPr>
        <w:t xml:space="preserve">within a specified distance of the HPSA to </w:t>
      </w:r>
      <w:proofErr w:type="gramStart"/>
      <w:r w:rsidRPr="005C3462">
        <w:rPr>
          <w:rFonts w:ascii="Arial" w:hAnsi="Arial" w:cs="Arial"/>
          <w:b/>
          <w:sz w:val="20"/>
          <w:szCs w:val="20"/>
        </w:rPr>
        <w:t>qualify;</w:t>
      </w:r>
      <w:proofErr w:type="gramEnd"/>
    </w:p>
    <w:p w14:paraId="7CB89802" w14:textId="77777777" w:rsidR="007D31DC" w:rsidRPr="005C3462" w:rsidRDefault="007D31DC" w:rsidP="005C3462">
      <w:pPr>
        <w:pStyle w:val="ListParagraph"/>
        <w:numPr>
          <w:ilvl w:val="0"/>
          <w:numId w:val="22"/>
        </w:numPr>
        <w:rPr>
          <w:rFonts w:ascii="Arial" w:hAnsi="Arial" w:cs="Arial"/>
          <w:b/>
          <w:sz w:val="20"/>
          <w:szCs w:val="20"/>
        </w:rPr>
      </w:pPr>
      <w:r w:rsidRPr="005C3462">
        <w:rPr>
          <w:rFonts w:ascii="Arial" w:hAnsi="Arial" w:cs="Arial"/>
          <w:b/>
          <w:sz w:val="20"/>
          <w:szCs w:val="20"/>
        </w:rPr>
        <w:lastRenderedPageBreak/>
        <w:t>Do not adopt its proposal to require at least 50% of training to occur in the HPSA; and</w:t>
      </w:r>
    </w:p>
    <w:p w14:paraId="50AC8B26" w14:textId="784235F4" w:rsidR="007D31DC" w:rsidRPr="005C3462" w:rsidRDefault="007D31DC" w:rsidP="005C3462">
      <w:pPr>
        <w:pStyle w:val="ListParagraph"/>
        <w:numPr>
          <w:ilvl w:val="0"/>
          <w:numId w:val="22"/>
        </w:numPr>
        <w:rPr>
          <w:rFonts w:ascii="Arial" w:hAnsi="Arial" w:cs="Arial"/>
          <w:b/>
          <w:sz w:val="20"/>
          <w:szCs w:val="20"/>
        </w:rPr>
      </w:pPr>
      <w:r w:rsidRPr="005C3462">
        <w:rPr>
          <w:rFonts w:ascii="Arial" w:hAnsi="Arial" w:cs="Arial"/>
          <w:b/>
          <w:sz w:val="20"/>
          <w:szCs w:val="20"/>
        </w:rPr>
        <w:t xml:space="preserve">Do not adopt its proposal to prioritize </w:t>
      </w:r>
      <w:r w:rsidR="0026157D">
        <w:rPr>
          <w:rFonts w:ascii="Arial" w:hAnsi="Arial" w:cs="Arial"/>
          <w:b/>
          <w:sz w:val="20"/>
          <w:szCs w:val="20"/>
        </w:rPr>
        <w:t xml:space="preserve">new </w:t>
      </w:r>
      <w:r w:rsidRPr="005C3462">
        <w:rPr>
          <w:rFonts w:ascii="Arial" w:hAnsi="Arial" w:cs="Arial"/>
          <w:b/>
          <w:sz w:val="20"/>
          <w:szCs w:val="20"/>
        </w:rPr>
        <w:t>slots solely on the HPSA score</w:t>
      </w:r>
      <w:r w:rsidR="007409AA">
        <w:rPr>
          <w:rFonts w:ascii="Arial" w:hAnsi="Arial" w:cs="Arial"/>
          <w:b/>
          <w:sz w:val="20"/>
          <w:szCs w:val="20"/>
        </w:rPr>
        <w:t>.</w:t>
      </w:r>
    </w:p>
    <w:p w14:paraId="1FD8B669" w14:textId="77777777" w:rsidR="007D31DC" w:rsidRPr="00216A78" w:rsidRDefault="007D31DC" w:rsidP="00216A78">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Alternative methodology to award slots</w:t>
      </w:r>
    </w:p>
    <w:p w14:paraId="57DA98DC" w14:textId="059665C8" w:rsidR="007D31DC" w:rsidRPr="005C3462" w:rsidRDefault="008342AA" w:rsidP="007D31DC">
      <w:pPr>
        <w:rPr>
          <w:rFonts w:ascii="Arial" w:hAnsi="Arial" w:cs="Arial"/>
          <w:bCs/>
          <w:sz w:val="20"/>
          <w:szCs w:val="20"/>
        </w:rPr>
      </w:pPr>
      <w:r w:rsidRPr="005C3462">
        <w:rPr>
          <w:rFonts w:ascii="Arial" w:hAnsi="Arial" w:cs="Arial"/>
          <w:bCs/>
          <w:sz w:val="20"/>
          <w:szCs w:val="20"/>
        </w:rPr>
        <w:t xml:space="preserve">The </w:t>
      </w:r>
      <w:r w:rsidR="007D31DC" w:rsidRPr="005C3462">
        <w:rPr>
          <w:rFonts w:ascii="Arial" w:hAnsi="Arial" w:cs="Arial"/>
          <w:bCs/>
          <w:sz w:val="20"/>
          <w:szCs w:val="20"/>
        </w:rPr>
        <w:t xml:space="preserve">CMS seeks comment on an alternative approach that would prioritize the slot distribution based on the </w:t>
      </w:r>
      <w:r w:rsidR="007409AA">
        <w:rPr>
          <w:rFonts w:ascii="Arial" w:hAnsi="Arial" w:cs="Arial"/>
          <w:bCs/>
          <w:sz w:val="20"/>
          <w:szCs w:val="20"/>
        </w:rPr>
        <w:t>4</w:t>
      </w:r>
      <w:r w:rsidR="007D31DC" w:rsidRPr="005C3462">
        <w:rPr>
          <w:rFonts w:ascii="Arial" w:hAnsi="Arial" w:cs="Arial"/>
          <w:bCs/>
          <w:sz w:val="20"/>
          <w:szCs w:val="20"/>
        </w:rPr>
        <w:t xml:space="preserve"> statutory categories giving top priority to hospitals that qualify under all </w:t>
      </w:r>
      <w:r w:rsidR="007409AA">
        <w:rPr>
          <w:rFonts w:ascii="Arial" w:hAnsi="Arial" w:cs="Arial"/>
          <w:bCs/>
          <w:sz w:val="20"/>
          <w:szCs w:val="20"/>
        </w:rPr>
        <w:t>4 categories</w:t>
      </w:r>
      <w:r w:rsidR="007D31DC" w:rsidRPr="005C3462">
        <w:rPr>
          <w:rFonts w:ascii="Arial" w:hAnsi="Arial" w:cs="Arial"/>
          <w:bCs/>
          <w:sz w:val="20"/>
          <w:szCs w:val="20"/>
        </w:rPr>
        <w:t xml:space="preserve">, followed by those that qualify under any </w:t>
      </w:r>
      <w:r w:rsidR="007409AA">
        <w:rPr>
          <w:rFonts w:ascii="Arial" w:hAnsi="Arial" w:cs="Arial"/>
          <w:bCs/>
          <w:sz w:val="20"/>
          <w:szCs w:val="20"/>
        </w:rPr>
        <w:t>3</w:t>
      </w:r>
      <w:r w:rsidR="007D31DC" w:rsidRPr="005C3462">
        <w:rPr>
          <w:rFonts w:ascii="Arial" w:hAnsi="Arial" w:cs="Arial"/>
          <w:bCs/>
          <w:sz w:val="20"/>
          <w:szCs w:val="20"/>
        </w:rPr>
        <w:t xml:space="preserve">, then </w:t>
      </w:r>
      <w:r w:rsidR="007409AA">
        <w:rPr>
          <w:rFonts w:ascii="Arial" w:hAnsi="Arial" w:cs="Arial"/>
          <w:bCs/>
          <w:sz w:val="20"/>
          <w:szCs w:val="20"/>
        </w:rPr>
        <w:t>2</w:t>
      </w:r>
      <w:r w:rsidR="007D31DC" w:rsidRPr="005C3462">
        <w:rPr>
          <w:rFonts w:ascii="Arial" w:hAnsi="Arial" w:cs="Arial"/>
          <w:bCs/>
          <w:sz w:val="20"/>
          <w:szCs w:val="20"/>
        </w:rPr>
        <w:t xml:space="preserve"> and then </w:t>
      </w:r>
      <w:r w:rsidR="007409AA">
        <w:rPr>
          <w:rFonts w:ascii="Arial" w:hAnsi="Arial" w:cs="Arial"/>
          <w:bCs/>
          <w:sz w:val="20"/>
          <w:szCs w:val="20"/>
        </w:rPr>
        <w:t>a single</w:t>
      </w:r>
      <w:r w:rsidR="007D31DC" w:rsidRPr="005C3462">
        <w:rPr>
          <w:rFonts w:ascii="Arial" w:hAnsi="Arial" w:cs="Arial"/>
          <w:bCs/>
          <w:sz w:val="20"/>
          <w:szCs w:val="20"/>
        </w:rPr>
        <w:t xml:space="preserve"> category. </w:t>
      </w:r>
      <w:r w:rsidRPr="005C3462">
        <w:rPr>
          <w:rFonts w:ascii="Arial" w:hAnsi="Arial" w:cs="Arial"/>
          <w:bCs/>
          <w:sz w:val="20"/>
          <w:szCs w:val="20"/>
        </w:rPr>
        <w:t xml:space="preserve">The </w:t>
      </w:r>
      <w:r w:rsidR="007D31DC" w:rsidRPr="005C3462">
        <w:rPr>
          <w:rFonts w:ascii="Arial" w:hAnsi="Arial" w:cs="Arial"/>
          <w:bCs/>
          <w:sz w:val="20"/>
          <w:szCs w:val="20"/>
        </w:rPr>
        <w:t xml:space="preserve">CMS believes this approach would allow additional time for the agency to work with stakeholders for a more refined approach in future years.  </w:t>
      </w:r>
      <w:r w:rsidRPr="005C3462">
        <w:rPr>
          <w:rFonts w:ascii="Arial" w:hAnsi="Arial" w:cs="Arial"/>
          <w:b/>
          <w:sz w:val="20"/>
          <w:szCs w:val="20"/>
        </w:rPr>
        <w:t>The MHA</w:t>
      </w:r>
      <w:r w:rsidR="007D31DC" w:rsidRPr="005C3462">
        <w:rPr>
          <w:rFonts w:ascii="Arial" w:hAnsi="Arial" w:cs="Arial"/>
          <w:b/>
          <w:sz w:val="20"/>
          <w:szCs w:val="20"/>
        </w:rPr>
        <w:t xml:space="preserve"> supports </w:t>
      </w:r>
      <w:r w:rsidRPr="005C3462">
        <w:rPr>
          <w:rFonts w:ascii="Arial" w:hAnsi="Arial" w:cs="Arial"/>
          <w:b/>
          <w:sz w:val="20"/>
          <w:szCs w:val="20"/>
        </w:rPr>
        <w:t xml:space="preserve">the </w:t>
      </w:r>
      <w:r w:rsidR="007D31DC" w:rsidRPr="005C3462">
        <w:rPr>
          <w:rFonts w:ascii="Arial" w:hAnsi="Arial" w:cs="Arial"/>
          <w:b/>
          <w:sz w:val="20"/>
          <w:szCs w:val="20"/>
        </w:rPr>
        <w:t xml:space="preserve">CMS’ alternative approach for FY 2023 to use the </w:t>
      </w:r>
      <w:r w:rsidR="007409AA">
        <w:rPr>
          <w:rFonts w:ascii="Arial" w:hAnsi="Arial" w:cs="Arial"/>
          <w:b/>
          <w:sz w:val="20"/>
          <w:szCs w:val="20"/>
        </w:rPr>
        <w:t>4</w:t>
      </w:r>
      <w:r w:rsidR="007D31DC" w:rsidRPr="005C3462">
        <w:rPr>
          <w:rFonts w:ascii="Arial" w:hAnsi="Arial" w:cs="Arial"/>
          <w:b/>
          <w:sz w:val="20"/>
          <w:szCs w:val="20"/>
        </w:rPr>
        <w:t xml:space="preserve"> statutory categories with the suggested modifications as stated above to:</w:t>
      </w:r>
    </w:p>
    <w:p w14:paraId="53E95229" w14:textId="77777777" w:rsidR="00F65318" w:rsidRPr="005C3462" w:rsidRDefault="00F65318" w:rsidP="007D31DC">
      <w:pPr>
        <w:rPr>
          <w:rFonts w:ascii="Arial" w:hAnsi="Arial" w:cs="Arial"/>
          <w:bCs/>
          <w:sz w:val="20"/>
          <w:szCs w:val="20"/>
        </w:rPr>
      </w:pPr>
    </w:p>
    <w:p w14:paraId="78270B08" w14:textId="77777777" w:rsidR="007D31DC" w:rsidRPr="005C3462" w:rsidRDefault="007D31DC" w:rsidP="005C3462">
      <w:pPr>
        <w:pStyle w:val="ListParagraph"/>
        <w:numPr>
          <w:ilvl w:val="0"/>
          <w:numId w:val="23"/>
        </w:numPr>
        <w:rPr>
          <w:rFonts w:ascii="Arial" w:hAnsi="Arial" w:cs="Arial"/>
          <w:bCs/>
          <w:sz w:val="20"/>
          <w:szCs w:val="20"/>
        </w:rPr>
      </w:pPr>
      <w:r w:rsidRPr="005C3462">
        <w:rPr>
          <w:rFonts w:ascii="Arial" w:hAnsi="Arial" w:cs="Arial"/>
          <w:bCs/>
          <w:sz w:val="20"/>
          <w:szCs w:val="20"/>
        </w:rPr>
        <w:t xml:space="preserve">Award at least the minimum number of slots (i.e., 3.0 to 5.0 FTEs) to allow for the training of 1.0 additional resident per year according to the required duration of the specialty and consider awarding up to 15 slots, depending on the specialty to provide for existing program expansion or a new </w:t>
      </w:r>
      <w:proofErr w:type="gramStart"/>
      <w:r w:rsidRPr="005C3462">
        <w:rPr>
          <w:rFonts w:ascii="Arial" w:hAnsi="Arial" w:cs="Arial"/>
          <w:bCs/>
          <w:sz w:val="20"/>
          <w:szCs w:val="20"/>
        </w:rPr>
        <w:t>program;</w:t>
      </w:r>
      <w:proofErr w:type="gramEnd"/>
    </w:p>
    <w:p w14:paraId="0CDF2D51" w14:textId="16D786FC" w:rsidR="007D31DC" w:rsidRPr="005C3462" w:rsidRDefault="005C3462" w:rsidP="005C3462">
      <w:pPr>
        <w:pStyle w:val="ListParagraph"/>
        <w:numPr>
          <w:ilvl w:val="0"/>
          <w:numId w:val="23"/>
        </w:numPr>
        <w:rPr>
          <w:rFonts w:ascii="Arial" w:hAnsi="Arial" w:cs="Arial"/>
          <w:bCs/>
          <w:sz w:val="20"/>
          <w:szCs w:val="20"/>
        </w:rPr>
      </w:pPr>
      <w:r>
        <w:rPr>
          <w:rFonts w:ascii="Arial" w:hAnsi="Arial" w:cs="Arial"/>
          <w:bCs/>
          <w:sz w:val="20"/>
          <w:szCs w:val="20"/>
        </w:rPr>
        <w:t xml:space="preserve">Expand the </w:t>
      </w:r>
      <w:r w:rsidR="007D31DC" w:rsidRPr="005C3462">
        <w:rPr>
          <w:rFonts w:ascii="Arial" w:hAnsi="Arial" w:cs="Arial"/>
          <w:bCs/>
          <w:sz w:val="20"/>
          <w:szCs w:val="20"/>
        </w:rPr>
        <w:t xml:space="preserve">HPSA category to include both the primary care or mental health geographic </w:t>
      </w:r>
      <w:r w:rsidR="0026157D" w:rsidRPr="0026157D">
        <w:rPr>
          <w:rFonts w:ascii="Arial" w:hAnsi="Arial" w:cs="Arial"/>
          <w:b/>
          <w:sz w:val="20"/>
          <w:szCs w:val="20"/>
          <w:u w:val="single"/>
        </w:rPr>
        <w:t>and</w:t>
      </w:r>
      <w:r w:rsidR="007D31DC" w:rsidRPr="0026157D">
        <w:rPr>
          <w:rFonts w:ascii="Arial" w:hAnsi="Arial" w:cs="Arial"/>
          <w:b/>
          <w:sz w:val="20"/>
          <w:szCs w:val="20"/>
          <w:u w:val="single"/>
        </w:rPr>
        <w:t xml:space="preserve"> </w:t>
      </w:r>
      <w:r w:rsidR="007D31DC" w:rsidRPr="005C3462">
        <w:rPr>
          <w:rFonts w:ascii="Arial" w:hAnsi="Arial" w:cs="Arial"/>
          <w:bCs/>
          <w:sz w:val="20"/>
          <w:szCs w:val="20"/>
        </w:rPr>
        <w:t xml:space="preserve">population-based </w:t>
      </w:r>
      <w:proofErr w:type="gramStart"/>
      <w:r w:rsidR="007D31DC" w:rsidRPr="005C3462">
        <w:rPr>
          <w:rFonts w:ascii="Arial" w:hAnsi="Arial" w:cs="Arial"/>
          <w:bCs/>
          <w:sz w:val="20"/>
          <w:szCs w:val="20"/>
        </w:rPr>
        <w:t>HPSAs;</w:t>
      </w:r>
      <w:proofErr w:type="gramEnd"/>
      <w:r w:rsidR="007D31DC" w:rsidRPr="005C3462">
        <w:rPr>
          <w:rFonts w:ascii="Arial" w:hAnsi="Arial" w:cs="Arial"/>
          <w:bCs/>
          <w:sz w:val="20"/>
          <w:szCs w:val="20"/>
        </w:rPr>
        <w:t xml:space="preserve"> </w:t>
      </w:r>
    </w:p>
    <w:p w14:paraId="68DA3631" w14:textId="77777777" w:rsidR="007D31DC" w:rsidRPr="005C3462" w:rsidRDefault="007D31DC" w:rsidP="005C3462">
      <w:pPr>
        <w:pStyle w:val="ListParagraph"/>
        <w:numPr>
          <w:ilvl w:val="0"/>
          <w:numId w:val="23"/>
        </w:numPr>
        <w:rPr>
          <w:rFonts w:ascii="Arial" w:hAnsi="Arial" w:cs="Arial"/>
          <w:bCs/>
          <w:sz w:val="20"/>
          <w:szCs w:val="20"/>
        </w:rPr>
      </w:pPr>
      <w:r w:rsidRPr="005C3462">
        <w:rPr>
          <w:rFonts w:ascii="Arial" w:hAnsi="Arial" w:cs="Arial"/>
          <w:bCs/>
          <w:sz w:val="20"/>
          <w:szCs w:val="20"/>
        </w:rPr>
        <w:t>Expand the definition to allow hospitals that are not located in a HPSA but within a specified distance of the HPSA to qualify; and</w:t>
      </w:r>
    </w:p>
    <w:p w14:paraId="165DF7BB" w14:textId="75CB5C14" w:rsidR="007D31DC" w:rsidRPr="005C3462" w:rsidRDefault="007D31DC" w:rsidP="005C3462">
      <w:pPr>
        <w:pStyle w:val="ListParagraph"/>
        <w:numPr>
          <w:ilvl w:val="0"/>
          <w:numId w:val="23"/>
        </w:numPr>
        <w:rPr>
          <w:rFonts w:ascii="Arial" w:hAnsi="Arial" w:cs="Arial"/>
          <w:bCs/>
          <w:sz w:val="20"/>
          <w:szCs w:val="20"/>
        </w:rPr>
      </w:pPr>
      <w:r w:rsidRPr="005C3462">
        <w:rPr>
          <w:rFonts w:ascii="Arial" w:hAnsi="Arial" w:cs="Arial"/>
          <w:bCs/>
          <w:sz w:val="20"/>
          <w:szCs w:val="20"/>
        </w:rPr>
        <w:t>Remove the requirement that at least 50% of the training occur in the HPSA</w:t>
      </w:r>
      <w:r w:rsidR="007409AA">
        <w:rPr>
          <w:rFonts w:ascii="Arial" w:hAnsi="Arial" w:cs="Arial"/>
          <w:bCs/>
          <w:sz w:val="20"/>
          <w:szCs w:val="20"/>
        </w:rPr>
        <w:t>.</w:t>
      </w:r>
    </w:p>
    <w:p w14:paraId="3C4BF425" w14:textId="49E5E09E" w:rsidR="007D31DC" w:rsidRPr="00DC017E" w:rsidRDefault="008342AA" w:rsidP="007D31DC">
      <w:pPr>
        <w:rPr>
          <w:rFonts w:ascii="Arial" w:hAnsi="Arial" w:cs="Arial"/>
          <w:b/>
          <w:sz w:val="20"/>
          <w:szCs w:val="20"/>
        </w:rPr>
      </w:pPr>
      <w:r w:rsidRPr="005C3462">
        <w:rPr>
          <w:rFonts w:ascii="Arial" w:hAnsi="Arial" w:cs="Arial"/>
          <w:bCs/>
          <w:sz w:val="20"/>
          <w:szCs w:val="20"/>
        </w:rPr>
        <w:t>The MHA appreciate</w:t>
      </w:r>
      <w:r w:rsidR="00164388" w:rsidRPr="005C3462">
        <w:rPr>
          <w:rFonts w:ascii="Arial" w:hAnsi="Arial" w:cs="Arial"/>
          <w:bCs/>
          <w:sz w:val="20"/>
          <w:szCs w:val="20"/>
        </w:rPr>
        <w:t>s</w:t>
      </w:r>
      <w:r w:rsidRPr="005C3462">
        <w:rPr>
          <w:rFonts w:ascii="Arial" w:hAnsi="Arial" w:cs="Arial"/>
          <w:bCs/>
          <w:sz w:val="20"/>
          <w:szCs w:val="20"/>
        </w:rPr>
        <w:t xml:space="preserve"> the</w:t>
      </w:r>
      <w:r w:rsidR="00E04882" w:rsidRPr="005C3462">
        <w:rPr>
          <w:rFonts w:ascii="Arial" w:hAnsi="Arial" w:cs="Arial"/>
          <w:bCs/>
          <w:sz w:val="20"/>
          <w:szCs w:val="20"/>
        </w:rPr>
        <w:t xml:space="preserve"> </w:t>
      </w:r>
      <w:r w:rsidR="007D31DC" w:rsidRPr="005C3462">
        <w:rPr>
          <w:rFonts w:ascii="Arial" w:hAnsi="Arial" w:cs="Arial"/>
          <w:bCs/>
          <w:sz w:val="20"/>
          <w:szCs w:val="20"/>
        </w:rPr>
        <w:t xml:space="preserve">new </w:t>
      </w:r>
      <w:r w:rsidR="007409AA">
        <w:rPr>
          <w:rFonts w:ascii="Arial" w:hAnsi="Arial" w:cs="Arial"/>
          <w:bCs/>
          <w:sz w:val="20"/>
          <w:szCs w:val="20"/>
        </w:rPr>
        <w:t xml:space="preserve">residency </w:t>
      </w:r>
      <w:r w:rsidR="007D31DC" w:rsidRPr="005C3462">
        <w:rPr>
          <w:rFonts w:ascii="Arial" w:hAnsi="Arial" w:cs="Arial"/>
          <w:bCs/>
          <w:sz w:val="20"/>
          <w:szCs w:val="20"/>
        </w:rPr>
        <w:t xml:space="preserve">slots </w:t>
      </w:r>
      <w:r w:rsidR="007409AA">
        <w:rPr>
          <w:rFonts w:ascii="Arial" w:hAnsi="Arial" w:cs="Arial"/>
          <w:bCs/>
          <w:sz w:val="20"/>
          <w:szCs w:val="20"/>
        </w:rPr>
        <w:t xml:space="preserve">but believe these </w:t>
      </w:r>
      <w:r w:rsidR="00164388" w:rsidRPr="005C3462">
        <w:rPr>
          <w:rFonts w:ascii="Arial" w:hAnsi="Arial" w:cs="Arial"/>
          <w:bCs/>
          <w:sz w:val="20"/>
          <w:szCs w:val="20"/>
        </w:rPr>
        <w:t>will only provide</w:t>
      </w:r>
      <w:r w:rsidR="007D31DC" w:rsidRPr="005C3462">
        <w:rPr>
          <w:rFonts w:ascii="Arial" w:hAnsi="Arial" w:cs="Arial"/>
          <w:bCs/>
          <w:sz w:val="20"/>
          <w:szCs w:val="20"/>
        </w:rPr>
        <w:t xml:space="preserve"> a </w:t>
      </w:r>
      <w:r w:rsidR="00164388" w:rsidRPr="005C3462">
        <w:rPr>
          <w:rFonts w:ascii="Arial" w:hAnsi="Arial" w:cs="Arial"/>
          <w:bCs/>
          <w:sz w:val="20"/>
          <w:szCs w:val="20"/>
        </w:rPr>
        <w:t>fraction of slots</w:t>
      </w:r>
      <w:r w:rsidR="007D31DC" w:rsidRPr="005C3462">
        <w:rPr>
          <w:rFonts w:ascii="Arial" w:hAnsi="Arial" w:cs="Arial"/>
          <w:bCs/>
          <w:sz w:val="20"/>
          <w:szCs w:val="20"/>
        </w:rPr>
        <w:t xml:space="preserve"> needed to </w:t>
      </w:r>
      <w:r w:rsidR="00253B8D">
        <w:rPr>
          <w:rFonts w:ascii="Arial" w:hAnsi="Arial" w:cs="Arial"/>
          <w:bCs/>
          <w:sz w:val="20"/>
          <w:szCs w:val="20"/>
        </w:rPr>
        <w:t xml:space="preserve">ensure an adequate number of Medicare-funded residency slots for all medical school graduates and </w:t>
      </w:r>
      <w:r w:rsidR="007D31DC" w:rsidRPr="005C3462">
        <w:rPr>
          <w:rFonts w:ascii="Arial" w:hAnsi="Arial" w:cs="Arial"/>
          <w:bCs/>
          <w:sz w:val="20"/>
          <w:szCs w:val="20"/>
        </w:rPr>
        <w:t>address the physician shortage</w:t>
      </w:r>
      <w:r w:rsidR="00164388" w:rsidRPr="005C3462">
        <w:rPr>
          <w:rFonts w:ascii="Arial" w:hAnsi="Arial" w:cs="Arial"/>
          <w:bCs/>
          <w:sz w:val="20"/>
          <w:szCs w:val="20"/>
        </w:rPr>
        <w:t>.</w:t>
      </w:r>
      <w:r w:rsidR="007D31DC" w:rsidRPr="005C3462">
        <w:rPr>
          <w:rFonts w:ascii="Arial" w:hAnsi="Arial" w:cs="Arial"/>
          <w:bCs/>
          <w:sz w:val="20"/>
          <w:szCs w:val="20"/>
        </w:rPr>
        <w:t xml:space="preserve"> </w:t>
      </w:r>
      <w:r w:rsidR="00517E6B">
        <w:rPr>
          <w:rFonts w:ascii="Arial" w:hAnsi="Arial" w:cs="Arial"/>
          <w:bCs/>
          <w:sz w:val="20"/>
          <w:szCs w:val="20"/>
        </w:rPr>
        <w:t>I</w:t>
      </w:r>
      <w:r w:rsidR="007D31DC" w:rsidRPr="005C3462">
        <w:rPr>
          <w:rFonts w:ascii="Arial" w:hAnsi="Arial" w:cs="Arial"/>
          <w:bCs/>
          <w:sz w:val="20"/>
          <w:szCs w:val="20"/>
        </w:rPr>
        <w:t xml:space="preserve">f </w:t>
      </w:r>
      <w:r w:rsidR="00164388" w:rsidRPr="005C3462">
        <w:rPr>
          <w:rFonts w:ascii="Arial" w:hAnsi="Arial" w:cs="Arial"/>
          <w:bCs/>
          <w:sz w:val="20"/>
          <w:szCs w:val="20"/>
        </w:rPr>
        <w:t xml:space="preserve">the </w:t>
      </w:r>
      <w:r w:rsidR="007D31DC" w:rsidRPr="005C3462">
        <w:rPr>
          <w:rFonts w:ascii="Arial" w:hAnsi="Arial" w:cs="Arial"/>
          <w:bCs/>
          <w:sz w:val="20"/>
          <w:szCs w:val="20"/>
        </w:rPr>
        <w:t xml:space="preserve">CMS does not consider our modifications for eligibility and distribution, we are concerned that many </w:t>
      </w:r>
      <w:r w:rsidR="00164388" w:rsidRPr="005C3462">
        <w:rPr>
          <w:rFonts w:ascii="Arial" w:hAnsi="Arial" w:cs="Arial"/>
          <w:bCs/>
          <w:sz w:val="20"/>
          <w:szCs w:val="20"/>
        </w:rPr>
        <w:t>Michigan</w:t>
      </w:r>
      <w:r w:rsidR="007D31DC" w:rsidRPr="005C3462">
        <w:rPr>
          <w:rFonts w:ascii="Arial" w:hAnsi="Arial" w:cs="Arial"/>
          <w:bCs/>
          <w:sz w:val="20"/>
          <w:szCs w:val="20"/>
        </w:rPr>
        <w:t xml:space="preserve"> teaching hospitals will not qualify for the additional slots. </w:t>
      </w:r>
      <w:r w:rsidR="00164388" w:rsidRPr="00DC017E">
        <w:rPr>
          <w:rFonts w:ascii="Arial" w:hAnsi="Arial" w:cs="Arial"/>
          <w:b/>
          <w:sz w:val="20"/>
          <w:szCs w:val="20"/>
        </w:rPr>
        <w:t>The MHA</w:t>
      </w:r>
      <w:r w:rsidR="007D31DC" w:rsidRPr="00DC017E">
        <w:rPr>
          <w:rFonts w:ascii="Arial" w:hAnsi="Arial" w:cs="Arial"/>
          <w:b/>
          <w:sz w:val="20"/>
          <w:szCs w:val="20"/>
        </w:rPr>
        <w:t xml:space="preserve"> urges </w:t>
      </w:r>
      <w:r w:rsidR="00164388" w:rsidRPr="00DC017E">
        <w:rPr>
          <w:rFonts w:ascii="Arial" w:hAnsi="Arial" w:cs="Arial"/>
          <w:b/>
          <w:sz w:val="20"/>
          <w:szCs w:val="20"/>
        </w:rPr>
        <w:t xml:space="preserve">the </w:t>
      </w:r>
      <w:r w:rsidR="007D31DC" w:rsidRPr="00DC017E">
        <w:rPr>
          <w:rFonts w:ascii="Arial" w:hAnsi="Arial" w:cs="Arial"/>
          <w:b/>
          <w:sz w:val="20"/>
          <w:szCs w:val="20"/>
        </w:rPr>
        <w:t>CMS to consider our recommendations for the FY 2023 residency slot distribution</w:t>
      </w:r>
      <w:r w:rsidR="00164388" w:rsidRPr="00DC017E">
        <w:rPr>
          <w:rFonts w:ascii="Arial" w:hAnsi="Arial" w:cs="Arial"/>
          <w:b/>
          <w:sz w:val="20"/>
          <w:szCs w:val="20"/>
        </w:rPr>
        <w:t xml:space="preserve"> as </w:t>
      </w:r>
      <w:r w:rsidR="007409AA">
        <w:rPr>
          <w:rFonts w:ascii="Arial" w:hAnsi="Arial" w:cs="Arial"/>
          <w:b/>
          <w:sz w:val="20"/>
          <w:szCs w:val="20"/>
        </w:rPr>
        <w:t>outlined</w:t>
      </w:r>
      <w:r w:rsidR="00164388" w:rsidRPr="00DC017E">
        <w:rPr>
          <w:rFonts w:ascii="Arial" w:hAnsi="Arial" w:cs="Arial"/>
          <w:b/>
          <w:sz w:val="20"/>
          <w:szCs w:val="20"/>
        </w:rPr>
        <w:t xml:space="preserve"> above</w:t>
      </w:r>
      <w:r w:rsidR="007D31DC" w:rsidRPr="00DC017E">
        <w:rPr>
          <w:rFonts w:ascii="Arial" w:hAnsi="Arial" w:cs="Arial"/>
          <w:b/>
          <w:sz w:val="20"/>
          <w:szCs w:val="20"/>
        </w:rPr>
        <w:t>.</w:t>
      </w:r>
    </w:p>
    <w:p w14:paraId="4080C5AC" w14:textId="1F45DD85" w:rsidR="005F3446" w:rsidRPr="00216A78" w:rsidRDefault="005F3446" w:rsidP="00216A78">
      <w:pPr>
        <w:autoSpaceDE w:val="0"/>
        <w:autoSpaceDN w:val="0"/>
        <w:adjustRightInd w:val="0"/>
        <w:rPr>
          <w:rFonts w:ascii="Arial" w:hAnsi="Arial" w:cs="Arial"/>
          <w:b/>
          <w:i/>
          <w:iCs/>
          <w:color w:val="000000"/>
          <w:sz w:val="20"/>
          <w:szCs w:val="20"/>
          <w:u w:val="single"/>
        </w:rPr>
      </w:pPr>
    </w:p>
    <w:bookmarkEnd w:id="1"/>
    <w:p w14:paraId="1B89D09A" w14:textId="57B94510" w:rsidR="003F3419" w:rsidRPr="00216A78" w:rsidRDefault="00B61C47" w:rsidP="00B61C47">
      <w:pPr>
        <w:autoSpaceDE w:val="0"/>
        <w:autoSpaceDN w:val="0"/>
        <w:adjustRightInd w:val="0"/>
        <w:rPr>
          <w:rFonts w:ascii="Arial" w:hAnsi="Arial" w:cs="Arial"/>
          <w:b/>
          <w:i/>
          <w:iCs/>
          <w:color w:val="000000"/>
          <w:sz w:val="20"/>
          <w:szCs w:val="20"/>
          <w:u w:val="single"/>
        </w:rPr>
      </w:pPr>
      <w:r w:rsidRPr="00216A78">
        <w:rPr>
          <w:rFonts w:ascii="Arial" w:hAnsi="Arial" w:cs="Arial"/>
          <w:b/>
          <w:i/>
          <w:iCs/>
          <w:color w:val="000000"/>
          <w:sz w:val="20"/>
          <w:szCs w:val="20"/>
          <w:u w:val="single"/>
        </w:rPr>
        <w:t>I</w:t>
      </w:r>
      <w:r w:rsidR="00216A78">
        <w:rPr>
          <w:rFonts w:ascii="Arial" w:hAnsi="Arial" w:cs="Arial"/>
          <w:b/>
          <w:i/>
          <w:iCs/>
          <w:color w:val="000000"/>
          <w:sz w:val="20"/>
          <w:szCs w:val="20"/>
          <w:u w:val="single"/>
        </w:rPr>
        <w:t xml:space="preserve">ntern and Resident Information System </w:t>
      </w:r>
      <w:r w:rsidRPr="00216A78">
        <w:rPr>
          <w:rFonts w:ascii="Arial" w:hAnsi="Arial" w:cs="Arial"/>
          <w:b/>
          <w:i/>
          <w:iCs/>
          <w:color w:val="000000"/>
          <w:sz w:val="20"/>
          <w:szCs w:val="20"/>
          <w:u w:val="single"/>
        </w:rPr>
        <w:t>(IRIS) D</w:t>
      </w:r>
      <w:r w:rsidR="00216A78">
        <w:rPr>
          <w:rFonts w:ascii="Arial" w:hAnsi="Arial" w:cs="Arial"/>
          <w:b/>
          <w:i/>
          <w:iCs/>
          <w:color w:val="000000"/>
          <w:sz w:val="20"/>
          <w:szCs w:val="20"/>
          <w:u w:val="single"/>
        </w:rPr>
        <w:t>ata</w:t>
      </w:r>
    </w:p>
    <w:p w14:paraId="56870398" w14:textId="0F696DCB" w:rsidR="003F3419" w:rsidRPr="003F3419" w:rsidRDefault="003F3419" w:rsidP="003F3419">
      <w:pPr>
        <w:rPr>
          <w:rFonts w:ascii="Arial" w:hAnsi="Arial" w:cs="Arial"/>
          <w:bCs/>
          <w:sz w:val="20"/>
          <w:szCs w:val="20"/>
        </w:rPr>
      </w:pPr>
      <w:r w:rsidRPr="003F3419">
        <w:rPr>
          <w:rFonts w:ascii="Arial" w:hAnsi="Arial" w:cs="Arial"/>
          <w:bCs/>
          <w:sz w:val="20"/>
          <w:szCs w:val="20"/>
        </w:rPr>
        <w:t xml:space="preserve">Beginning with cost reporting periods on or after Oct. 1, 2021, the Intern and Resident Information System </w:t>
      </w:r>
      <w:r w:rsidR="007409AA">
        <w:rPr>
          <w:rFonts w:ascii="Arial" w:hAnsi="Arial" w:cs="Arial"/>
          <w:bCs/>
          <w:sz w:val="20"/>
          <w:szCs w:val="20"/>
        </w:rPr>
        <w:t xml:space="preserve">(IRIS) </w:t>
      </w:r>
      <w:r w:rsidRPr="003F3419">
        <w:rPr>
          <w:rFonts w:ascii="Arial" w:hAnsi="Arial" w:cs="Arial"/>
          <w:bCs/>
          <w:sz w:val="20"/>
          <w:szCs w:val="20"/>
        </w:rPr>
        <w:t xml:space="preserve">data collection will be done using the new extensible markup language (XML) IRIS file, instead of the current diskette format. While </w:t>
      </w:r>
      <w:r>
        <w:rPr>
          <w:rFonts w:ascii="Arial" w:hAnsi="Arial" w:cs="Arial"/>
          <w:bCs/>
          <w:sz w:val="20"/>
          <w:szCs w:val="20"/>
        </w:rPr>
        <w:t>the MHA is supportive of using new</w:t>
      </w:r>
      <w:r w:rsidRPr="003F3419">
        <w:rPr>
          <w:rFonts w:ascii="Arial" w:hAnsi="Arial" w:cs="Arial"/>
          <w:bCs/>
          <w:sz w:val="20"/>
          <w:szCs w:val="20"/>
        </w:rPr>
        <w:t xml:space="preserve"> technology to collect the IRIS data, </w:t>
      </w:r>
      <w:r w:rsidRPr="007409AA">
        <w:rPr>
          <w:rFonts w:ascii="Arial" w:hAnsi="Arial" w:cs="Arial"/>
          <w:b/>
          <w:sz w:val="20"/>
          <w:szCs w:val="20"/>
        </w:rPr>
        <w:t>we oppose the CMS’ proposal to reject a cost report that lacks supporting documentation unless the IRIS data contains the same total counts of direct GME FTE residents (unweighted and weighted) and of IME FTE residents as the total counts on the cost report.</w:t>
      </w:r>
      <w:r w:rsidRPr="003F3419">
        <w:rPr>
          <w:rFonts w:ascii="Arial" w:hAnsi="Arial" w:cs="Arial"/>
          <w:bCs/>
          <w:sz w:val="20"/>
          <w:szCs w:val="20"/>
        </w:rPr>
        <w:t xml:space="preserve">  </w:t>
      </w:r>
    </w:p>
    <w:p w14:paraId="14A1B01E" w14:textId="77777777" w:rsidR="003F3419" w:rsidRPr="003F3419" w:rsidRDefault="003F3419" w:rsidP="003F3419">
      <w:pPr>
        <w:rPr>
          <w:rFonts w:ascii="Arial" w:hAnsi="Arial" w:cs="Arial"/>
          <w:bCs/>
          <w:sz w:val="20"/>
          <w:szCs w:val="20"/>
        </w:rPr>
      </w:pPr>
    </w:p>
    <w:p w14:paraId="19EE36D5" w14:textId="45B0F75D" w:rsidR="003F3419" w:rsidRPr="003F3419" w:rsidRDefault="007409AA" w:rsidP="003F3419">
      <w:pPr>
        <w:rPr>
          <w:rFonts w:ascii="Arial" w:hAnsi="Arial" w:cs="Arial"/>
          <w:b/>
          <w:sz w:val="20"/>
          <w:szCs w:val="20"/>
        </w:rPr>
      </w:pPr>
      <w:r>
        <w:rPr>
          <w:rFonts w:ascii="Arial" w:hAnsi="Arial" w:cs="Arial"/>
          <w:bCs/>
          <w:sz w:val="20"/>
          <w:szCs w:val="20"/>
        </w:rPr>
        <w:t>We are concerned that h</w:t>
      </w:r>
      <w:r w:rsidR="003F3419" w:rsidRPr="003F3419">
        <w:rPr>
          <w:rFonts w:ascii="Arial" w:hAnsi="Arial" w:cs="Arial"/>
          <w:bCs/>
          <w:sz w:val="20"/>
          <w:szCs w:val="20"/>
        </w:rPr>
        <w:t xml:space="preserve">ospitals may experience software issues with the new IRIS data collection system since it has not been used before.  As a result, </w:t>
      </w:r>
      <w:r w:rsidR="003F3419" w:rsidRPr="003F3419">
        <w:rPr>
          <w:rFonts w:ascii="Arial" w:hAnsi="Arial" w:cs="Arial"/>
          <w:b/>
          <w:sz w:val="20"/>
          <w:szCs w:val="20"/>
        </w:rPr>
        <w:t xml:space="preserve">the MHA requests that the CMS consider these transition issues and not penalize hospitals for inadvertent errors that commonly arise due to the complications of recording resident rotations and that ultimately are corrected to ensure </w:t>
      </w:r>
      <w:r>
        <w:rPr>
          <w:rFonts w:ascii="Arial" w:hAnsi="Arial" w:cs="Arial"/>
          <w:b/>
          <w:sz w:val="20"/>
          <w:szCs w:val="20"/>
        </w:rPr>
        <w:t>accurate</w:t>
      </w:r>
      <w:r w:rsidR="003F3419" w:rsidRPr="003F3419">
        <w:rPr>
          <w:rFonts w:ascii="Arial" w:hAnsi="Arial" w:cs="Arial"/>
          <w:b/>
          <w:sz w:val="20"/>
          <w:szCs w:val="20"/>
        </w:rPr>
        <w:t xml:space="preserve"> Medicare payment. </w:t>
      </w:r>
    </w:p>
    <w:p w14:paraId="4D034DC9" w14:textId="77777777" w:rsidR="003F3419" w:rsidRPr="003F3419" w:rsidRDefault="003F3419" w:rsidP="003F3419">
      <w:pPr>
        <w:rPr>
          <w:rFonts w:ascii="Arial" w:hAnsi="Arial" w:cs="Arial"/>
          <w:b/>
          <w:sz w:val="20"/>
          <w:szCs w:val="20"/>
        </w:rPr>
      </w:pPr>
    </w:p>
    <w:p w14:paraId="3F8CD650" w14:textId="392E38D7" w:rsidR="00635F77" w:rsidRPr="00E718AB" w:rsidRDefault="00635F77" w:rsidP="00216A78">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ORGAN ACQUISITION COSTS</w:t>
      </w:r>
    </w:p>
    <w:p w14:paraId="3D4766A6" w14:textId="061F755B" w:rsidR="00635F77" w:rsidRDefault="00635F77" w:rsidP="00862539">
      <w:pPr>
        <w:rPr>
          <w:rFonts w:ascii="Arial" w:hAnsi="Arial" w:cs="Arial"/>
          <w:bCs/>
          <w:sz w:val="20"/>
          <w:szCs w:val="20"/>
        </w:rPr>
      </w:pPr>
    </w:p>
    <w:p w14:paraId="2263BA9D" w14:textId="4EC8A765" w:rsidR="004C6459" w:rsidRDefault="003803D8" w:rsidP="00784CCA">
      <w:pPr>
        <w:rPr>
          <w:rFonts w:ascii="Arial" w:hAnsi="Arial" w:cs="Arial"/>
          <w:bCs/>
          <w:sz w:val="20"/>
          <w:szCs w:val="20"/>
        </w:rPr>
      </w:pPr>
      <w:r>
        <w:rPr>
          <w:rFonts w:ascii="Arial" w:hAnsi="Arial" w:cs="Arial"/>
          <w:bCs/>
          <w:sz w:val="20"/>
          <w:szCs w:val="20"/>
        </w:rPr>
        <w:t>H</w:t>
      </w:r>
      <w:r w:rsidR="00B64AF3">
        <w:rPr>
          <w:rFonts w:ascii="Arial" w:hAnsi="Arial" w:cs="Arial"/>
          <w:bCs/>
          <w:sz w:val="20"/>
          <w:szCs w:val="20"/>
        </w:rPr>
        <w:t xml:space="preserve">ospitals that perform </w:t>
      </w:r>
      <w:r>
        <w:rPr>
          <w:rFonts w:ascii="Arial" w:hAnsi="Arial" w:cs="Arial"/>
          <w:bCs/>
          <w:sz w:val="20"/>
          <w:szCs w:val="20"/>
        </w:rPr>
        <w:t xml:space="preserve">vital life-saving </w:t>
      </w:r>
      <w:r w:rsidR="00B64AF3">
        <w:rPr>
          <w:rFonts w:ascii="Arial" w:hAnsi="Arial" w:cs="Arial"/>
          <w:bCs/>
          <w:sz w:val="20"/>
          <w:szCs w:val="20"/>
        </w:rPr>
        <w:t xml:space="preserve">organ transplantation face </w:t>
      </w:r>
      <w:r>
        <w:rPr>
          <w:rFonts w:ascii="Arial" w:hAnsi="Arial" w:cs="Arial"/>
          <w:bCs/>
          <w:sz w:val="20"/>
          <w:szCs w:val="20"/>
        </w:rPr>
        <w:t>devastating</w:t>
      </w:r>
      <w:r w:rsidR="00B64AF3">
        <w:rPr>
          <w:rFonts w:ascii="Arial" w:hAnsi="Arial" w:cs="Arial"/>
          <w:bCs/>
          <w:sz w:val="20"/>
          <w:szCs w:val="20"/>
        </w:rPr>
        <w:t xml:space="preserve"> losses </w:t>
      </w:r>
      <w:r w:rsidR="005E4EBD">
        <w:rPr>
          <w:rFonts w:ascii="Arial" w:hAnsi="Arial" w:cs="Arial"/>
          <w:bCs/>
          <w:sz w:val="20"/>
          <w:szCs w:val="20"/>
        </w:rPr>
        <w:t xml:space="preserve">due to a </w:t>
      </w:r>
      <w:r w:rsidR="00B64AF3">
        <w:rPr>
          <w:rFonts w:ascii="Arial" w:hAnsi="Arial" w:cs="Arial"/>
          <w:bCs/>
          <w:sz w:val="20"/>
          <w:szCs w:val="20"/>
        </w:rPr>
        <w:t>fundamental change in</w:t>
      </w:r>
      <w:r w:rsidR="005E4EBD">
        <w:rPr>
          <w:rFonts w:ascii="Arial" w:hAnsi="Arial" w:cs="Arial"/>
          <w:bCs/>
          <w:sz w:val="20"/>
          <w:szCs w:val="20"/>
        </w:rPr>
        <w:t>cluded in the proposed rule that would decrease</w:t>
      </w:r>
      <w:r w:rsidR="00B64AF3">
        <w:rPr>
          <w:rFonts w:ascii="Arial" w:hAnsi="Arial" w:cs="Arial"/>
          <w:bCs/>
          <w:sz w:val="20"/>
          <w:szCs w:val="20"/>
        </w:rPr>
        <w:t xml:space="preserve"> Medicare reimbursement to transplant hospitals</w:t>
      </w:r>
      <w:r w:rsidR="005E4EBD">
        <w:rPr>
          <w:rFonts w:ascii="Arial" w:hAnsi="Arial" w:cs="Arial"/>
          <w:bCs/>
          <w:sz w:val="20"/>
          <w:szCs w:val="20"/>
        </w:rPr>
        <w:t xml:space="preserve"> (THs) and organ procurement organizations (OPOs). This would </w:t>
      </w:r>
      <w:r w:rsidR="00B64AF3">
        <w:rPr>
          <w:rFonts w:ascii="Arial" w:hAnsi="Arial" w:cs="Arial"/>
          <w:bCs/>
          <w:sz w:val="20"/>
          <w:szCs w:val="20"/>
        </w:rPr>
        <w:t>replac</w:t>
      </w:r>
      <w:r w:rsidR="005E4EBD">
        <w:rPr>
          <w:rFonts w:ascii="Arial" w:hAnsi="Arial" w:cs="Arial"/>
          <w:bCs/>
          <w:sz w:val="20"/>
          <w:szCs w:val="20"/>
        </w:rPr>
        <w:t>e</w:t>
      </w:r>
      <w:r w:rsidR="00B64AF3">
        <w:rPr>
          <w:rFonts w:ascii="Arial" w:hAnsi="Arial" w:cs="Arial"/>
          <w:bCs/>
          <w:sz w:val="20"/>
          <w:szCs w:val="20"/>
        </w:rPr>
        <w:t xml:space="preserve"> the </w:t>
      </w:r>
      <w:r w:rsidR="005E4EBD">
        <w:rPr>
          <w:rFonts w:ascii="Arial" w:hAnsi="Arial" w:cs="Arial"/>
          <w:bCs/>
          <w:sz w:val="20"/>
          <w:szCs w:val="20"/>
        </w:rPr>
        <w:t>existing reimbursement methodology</w:t>
      </w:r>
      <w:r w:rsidR="004C6459">
        <w:rPr>
          <w:rFonts w:ascii="Arial" w:hAnsi="Arial" w:cs="Arial"/>
          <w:bCs/>
          <w:sz w:val="20"/>
          <w:szCs w:val="20"/>
        </w:rPr>
        <w:t xml:space="preserve"> </w:t>
      </w:r>
      <w:r w:rsidR="00B64AF3">
        <w:rPr>
          <w:rFonts w:ascii="Arial" w:hAnsi="Arial" w:cs="Arial"/>
          <w:bCs/>
          <w:sz w:val="20"/>
          <w:szCs w:val="20"/>
        </w:rPr>
        <w:t xml:space="preserve">that has been in place for three decades as an incentive to increase access to organ transplantation. </w:t>
      </w:r>
      <w:r w:rsidR="004C6459">
        <w:rPr>
          <w:rFonts w:ascii="Arial" w:hAnsi="Arial" w:cs="Arial"/>
          <w:bCs/>
          <w:sz w:val="20"/>
          <w:szCs w:val="20"/>
        </w:rPr>
        <w:t xml:space="preserve">Medicare currently shares in the organ acquisition cost for some organs that are transplanted into non-Medicare beneficiaries. </w:t>
      </w:r>
      <w:r w:rsidR="007B111B">
        <w:rPr>
          <w:rFonts w:ascii="Arial" w:hAnsi="Arial" w:cs="Arial"/>
          <w:bCs/>
          <w:sz w:val="20"/>
          <w:szCs w:val="20"/>
        </w:rPr>
        <w:t>The rule indicates that the existing Medicare policy was put into place due to the lack of organ-tracking capabilities</w:t>
      </w:r>
      <w:r w:rsidR="008F34ED">
        <w:rPr>
          <w:rFonts w:ascii="Arial" w:hAnsi="Arial" w:cs="Arial"/>
          <w:bCs/>
          <w:sz w:val="20"/>
          <w:szCs w:val="20"/>
        </w:rPr>
        <w:t xml:space="preserve"> and the CMS now believes that organ tracking capabilities allow THs and OPOs to discern organ recipients’ health insurance payor information so that organ acquisition costs can be more appropriately assigned to the Medicare program for organs transplanted into Medicare beneficiaries. </w:t>
      </w:r>
    </w:p>
    <w:p w14:paraId="57A6903E" w14:textId="77E7D4BB" w:rsidR="00431FCC" w:rsidRDefault="00431FCC" w:rsidP="00784CCA">
      <w:pPr>
        <w:rPr>
          <w:rFonts w:ascii="Arial" w:hAnsi="Arial" w:cs="Arial"/>
          <w:bCs/>
          <w:sz w:val="20"/>
          <w:szCs w:val="20"/>
        </w:rPr>
      </w:pPr>
    </w:p>
    <w:p w14:paraId="13D8F4B6" w14:textId="54548109" w:rsidR="00431FCC" w:rsidRDefault="008E6446" w:rsidP="00784CCA">
      <w:pPr>
        <w:rPr>
          <w:rFonts w:ascii="Arial" w:hAnsi="Arial" w:cs="Arial"/>
          <w:bCs/>
          <w:sz w:val="20"/>
          <w:szCs w:val="20"/>
        </w:rPr>
      </w:pPr>
      <w:r>
        <w:rPr>
          <w:rFonts w:ascii="Arial" w:hAnsi="Arial" w:cs="Arial"/>
          <w:bCs/>
          <w:sz w:val="20"/>
          <w:szCs w:val="20"/>
        </w:rPr>
        <w:lastRenderedPageBreak/>
        <w:t xml:space="preserve">Medicare reimburses for organ acquisition costs outside of the IPPS and pays based on cost. </w:t>
      </w:r>
      <w:r w:rsidR="005E4EBD">
        <w:rPr>
          <w:rFonts w:ascii="Arial" w:hAnsi="Arial" w:cs="Arial"/>
          <w:bCs/>
          <w:sz w:val="20"/>
          <w:szCs w:val="20"/>
        </w:rPr>
        <w:t xml:space="preserve">Currently, </w:t>
      </w:r>
      <w:r w:rsidR="005E4EBD" w:rsidRPr="00784CCA">
        <w:rPr>
          <w:rFonts w:ascii="Arial" w:hAnsi="Arial" w:cs="Arial"/>
          <w:bCs/>
          <w:sz w:val="20"/>
          <w:szCs w:val="20"/>
        </w:rPr>
        <w:t>Medicare calculates its share of organ acquisition costs for THs</w:t>
      </w:r>
      <w:r w:rsidR="005E4EBD">
        <w:rPr>
          <w:rFonts w:ascii="Arial" w:hAnsi="Arial" w:cs="Arial"/>
          <w:bCs/>
          <w:sz w:val="20"/>
          <w:szCs w:val="20"/>
        </w:rPr>
        <w:t xml:space="preserve"> and </w:t>
      </w:r>
      <w:r w:rsidR="005E4EBD" w:rsidRPr="00784CCA">
        <w:rPr>
          <w:rFonts w:ascii="Arial" w:hAnsi="Arial" w:cs="Arial"/>
          <w:bCs/>
          <w:sz w:val="20"/>
          <w:szCs w:val="20"/>
        </w:rPr>
        <w:t xml:space="preserve">OPOs by multiplying the total allowable organ acquisition costs by the ratio of Medicare usable organs (the numerator) to total usable organs (the denominator) reported on the </w:t>
      </w:r>
      <w:r w:rsidR="005E4EBD">
        <w:rPr>
          <w:rFonts w:ascii="Arial" w:hAnsi="Arial" w:cs="Arial"/>
          <w:bCs/>
          <w:sz w:val="20"/>
          <w:szCs w:val="20"/>
        </w:rPr>
        <w:t xml:space="preserve">hospital’s </w:t>
      </w:r>
      <w:r w:rsidR="005E4EBD" w:rsidRPr="00784CCA">
        <w:rPr>
          <w:rFonts w:ascii="Arial" w:hAnsi="Arial" w:cs="Arial"/>
          <w:bCs/>
          <w:sz w:val="20"/>
          <w:szCs w:val="20"/>
        </w:rPr>
        <w:t>Medicare cost report.</w:t>
      </w:r>
      <w:r w:rsidR="005E4EBD">
        <w:rPr>
          <w:rFonts w:ascii="Arial" w:hAnsi="Arial" w:cs="Arial"/>
          <w:bCs/>
          <w:sz w:val="20"/>
          <w:szCs w:val="20"/>
        </w:rPr>
        <w:t xml:space="preserve"> </w:t>
      </w:r>
      <w:r w:rsidR="00431FCC">
        <w:rPr>
          <w:rFonts w:ascii="Arial" w:hAnsi="Arial" w:cs="Arial"/>
          <w:bCs/>
          <w:sz w:val="20"/>
          <w:szCs w:val="20"/>
        </w:rPr>
        <w:t xml:space="preserve">The CMS proposal </w:t>
      </w:r>
      <w:r w:rsidR="00194DA5">
        <w:rPr>
          <w:rFonts w:ascii="Arial" w:hAnsi="Arial" w:cs="Arial"/>
          <w:bCs/>
          <w:sz w:val="20"/>
          <w:szCs w:val="20"/>
        </w:rPr>
        <w:t xml:space="preserve">would restrict the number of donated organs factored into a </w:t>
      </w:r>
      <w:r w:rsidR="007A5A04">
        <w:rPr>
          <w:rFonts w:ascii="Arial" w:hAnsi="Arial" w:cs="Arial"/>
          <w:bCs/>
          <w:sz w:val="20"/>
          <w:szCs w:val="20"/>
        </w:rPr>
        <w:t>TH</w:t>
      </w:r>
      <w:r w:rsidR="00194DA5">
        <w:rPr>
          <w:rFonts w:ascii="Arial" w:hAnsi="Arial" w:cs="Arial"/>
          <w:bCs/>
          <w:sz w:val="20"/>
          <w:szCs w:val="20"/>
        </w:rPr>
        <w:t xml:space="preserve">’s Medicare ratio. Currently </w:t>
      </w:r>
      <w:r w:rsidR="00194DA5" w:rsidRPr="007A5A04">
        <w:rPr>
          <w:rFonts w:ascii="Arial" w:hAnsi="Arial" w:cs="Arial"/>
          <w:b/>
          <w:sz w:val="20"/>
          <w:szCs w:val="20"/>
          <w:u w:val="single"/>
        </w:rPr>
        <w:t>all</w:t>
      </w:r>
      <w:r w:rsidR="00194DA5" w:rsidRPr="007A5A04">
        <w:rPr>
          <w:rFonts w:ascii="Arial" w:hAnsi="Arial" w:cs="Arial"/>
          <w:b/>
          <w:sz w:val="20"/>
          <w:szCs w:val="20"/>
        </w:rPr>
        <w:t xml:space="preserve"> </w:t>
      </w:r>
      <w:r w:rsidR="00194DA5">
        <w:rPr>
          <w:rFonts w:ascii="Arial" w:hAnsi="Arial" w:cs="Arial"/>
          <w:bCs/>
          <w:sz w:val="20"/>
          <w:szCs w:val="20"/>
        </w:rPr>
        <w:t xml:space="preserve">donated organs are factored into this ratio but under the proposal only those deceased donor organs that ultimately </w:t>
      </w:r>
      <w:r w:rsidR="007A5A04">
        <w:rPr>
          <w:rFonts w:ascii="Arial" w:hAnsi="Arial" w:cs="Arial"/>
          <w:bCs/>
          <w:sz w:val="20"/>
          <w:szCs w:val="20"/>
        </w:rPr>
        <w:t xml:space="preserve">are </w:t>
      </w:r>
      <w:r w:rsidR="00194DA5">
        <w:rPr>
          <w:rFonts w:ascii="Arial" w:hAnsi="Arial" w:cs="Arial"/>
          <w:bCs/>
          <w:sz w:val="20"/>
          <w:szCs w:val="20"/>
        </w:rPr>
        <w:t xml:space="preserve">transplanted into Medicare beneficiaries will have the care and procurement costs covered by Medicare. This ratio determines Medicare reimbursement to the </w:t>
      </w:r>
      <w:r w:rsidR="005E4EBD">
        <w:rPr>
          <w:rFonts w:ascii="Arial" w:hAnsi="Arial" w:cs="Arial"/>
          <w:bCs/>
          <w:sz w:val="20"/>
          <w:szCs w:val="20"/>
        </w:rPr>
        <w:t>TH</w:t>
      </w:r>
      <w:r w:rsidR="00194DA5">
        <w:rPr>
          <w:rFonts w:ascii="Arial" w:hAnsi="Arial" w:cs="Arial"/>
          <w:bCs/>
          <w:sz w:val="20"/>
          <w:szCs w:val="20"/>
        </w:rPr>
        <w:t xml:space="preserve"> to cover their </w:t>
      </w:r>
      <w:r w:rsidR="005E4EBD">
        <w:rPr>
          <w:rFonts w:ascii="Arial" w:hAnsi="Arial" w:cs="Arial"/>
          <w:bCs/>
          <w:sz w:val="20"/>
          <w:szCs w:val="20"/>
        </w:rPr>
        <w:t xml:space="preserve">organ </w:t>
      </w:r>
      <w:r w:rsidR="00194DA5">
        <w:rPr>
          <w:rFonts w:ascii="Arial" w:hAnsi="Arial" w:cs="Arial"/>
          <w:bCs/>
          <w:sz w:val="20"/>
          <w:szCs w:val="20"/>
        </w:rPr>
        <w:t xml:space="preserve">acquisition cost </w:t>
      </w:r>
      <w:r w:rsidR="009B697E">
        <w:rPr>
          <w:rFonts w:ascii="Arial" w:hAnsi="Arial" w:cs="Arial"/>
          <w:bCs/>
          <w:sz w:val="20"/>
          <w:szCs w:val="20"/>
        </w:rPr>
        <w:t>for</w:t>
      </w:r>
      <w:r w:rsidR="00194DA5">
        <w:rPr>
          <w:rFonts w:ascii="Arial" w:hAnsi="Arial" w:cs="Arial"/>
          <w:bCs/>
          <w:sz w:val="20"/>
          <w:szCs w:val="20"/>
        </w:rPr>
        <w:t xml:space="preserve"> staffing resources, pre-transplant testing and evaluations, space and other items needed to provide care for potential </w:t>
      </w:r>
      <w:r w:rsidR="009F3BBC">
        <w:rPr>
          <w:rFonts w:ascii="Arial" w:hAnsi="Arial" w:cs="Arial"/>
          <w:bCs/>
          <w:sz w:val="20"/>
          <w:szCs w:val="20"/>
        </w:rPr>
        <w:t xml:space="preserve">cadaveric </w:t>
      </w:r>
      <w:r w:rsidR="00194DA5">
        <w:rPr>
          <w:rFonts w:ascii="Arial" w:hAnsi="Arial" w:cs="Arial"/>
          <w:bCs/>
          <w:sz w:val="20"/>
          <w:szCs w:val="20"/>
        </w:rPr>
        <w:t>and living donors and candidates for transplant.</w:t>
      </w:r>
      <w:r w:rsidR="009F3BBC">
        <w:rPr>
          <w:rFonts w:ascii="Arial" w:hAnsi="Arial" w:cs="Arial"/>
          <w:bCs/>
          <w:sz w:val="20"/>
          <w:szCs w:val="20"/>
        </w:rPr>
        <w:t xml:space="preserve"> </w:t>
      </w:r>
      <w:r w:rsidR="00194DA5">
        <w:rPr>
          <w:rFonts w:ascii="Arial" w:hAnsi="Arial" w:cs="Arial"/>
          <w:bCs/>
          <w:sz w:val="20"/>
          <w:szCs w:val="20"/>
        </w:rPr>
        <w:t xml:space="preserve"> </w:t>
      </w:r>
    </w:p>
    <w:p w14:paraId="54C9F5EA" w14:textId="77777777" w:rsidR="00B64AF3" w:rsidRDefault="00B64AF3" w:rsidP="00784CCA">
      <w:pPr>
        <w:rPr>
          <w:rFonts w:ascii="Arial" w:hAnsi="Arial" w:cs="Arial"/>
          <w:bCs/>
          <w:sz w:val="20"/>
          <w:szCs w:val="20"/>
        </w:rPr>
      </w:pPr>
    </w:p>
    <w:p w14:paraId="5E09A419" w14:textId="77777777" w:rsidR="00BD2417" w:rsidRDefault="00F93EEE" w:rsidP="00BD2417">
      <w:pPr>
        <w:rPr>
          <w:rFonts w:ascii="Arial" w:hAnsi="Arial" w:cs="Arial"/>
          <w:bCs/>
          <w:sz w:val="20"/>
          <w:szCs w:val="20"/>
        </w:rPr>
      </w:pPr>
      <w:r>
        <w:rPr>
          <w:rFonts w:ascii="Arial" w:hAnsi="Arial" w:cs="Arial"/>
          <w:bCs/>
          <w:sz w:val="20"/>
          <w:szCs w:val="20"/>
        </w:rPr>
        <w:t xml:space="preserve">Data provided by The Organ Donation and Transplantation Alliance estimates that this proposal would reduce payments to 22 Michigan hospital organ transplant programs by </w:t>
      </w:r>
      <w:r w:rsidRPr="005E4EBD">
        <w:rPr>
          <w:rFonts w:ascii="Arial" w:hAnsi="Arial" w:cs="Arial"/>
          <w:b/>
          <w:sz w:val="20"/>
          <w:szCs w:val="20"/>
        </w:rPr>
        <w:t xml:space="preserve">nearly $14 million. </w:t>
      </w:r>
      <w:r w:rsidR="007A5A04">
        <w:rPr>
          <w:rFonts w:ascii="Arial" w:hAnsi="Arial" w:cs="Arial"/>
          <w:b/>
          <w:sz w:val="20"/>
          <w:szCs w:val="20"/>
        </w:rPr>
        <w:t xml:space="preserve"> </w:t>
      </w:r>
      <w:r w:rsidR="009B697E" w:rsidRPr="008D4474">
        <w:rPr>
          <w:rFonts w:ascii="Arial" w:hAnsi="Arial" w:cs="Arial"/>
          <w:bCs/>
          <w:sz w:val="20"/>
          <w:szCs w:val="20"/>
        </w:rPr>
        <w:t xml:space="preserve">As previously indicated, currently all donated organs </w:t>
      </w:r>
      <w:r w:rsidR="008D4474" w:rsidRPr="008D4474">
        <w:rPr>
          <w:rFonts w:ascii="Arial" w:hAnsi="Arial" w:cs="Arial"/>
          <w:bCs/>
          <w:sz w:val="20"/>
          <w:szCs w:val="20"/>
        </w:rPr>
        <w:t>are factored into the ratio used for organ acquisition cost.</w:t>
      </w:r>
      <w:r w:rsidR="008D4474">
        <w:rPr>
          <w:rFonts w:ascii="Arial" w:hAnsi="Arial" w:cs="Arial"/>
          <w:b/>
          <w:sz w:val="20"/>
          <w:szCs w:val="20"/>
        </w:rPr>
        <w:t xml:space="preserve"> </w:t>
      </w:r>
      <w:r w:rsidR="009202CF">
        <w:rPr>
          <w:rFonts w:ascii="Arial" w:hAnsi="Arial" w:cs="Arial"/>
          <w:bCs/>
          <w:sz w:val="20"/>
          <w:szCs w:val="20"/>
        </w:rPr>
        <w:t xml:space="preserve">The </w:t>
      </w:r>
      <w:r w:rsidR="005E4EBD">
        <w:rPr>
          <w:rFonts w:ascii="Arial" w:hAnsi="Arial" w:cs="Arial"/>
          <w:bCs/>
          <w:sz w:val="20"/>
          <w:szCs w:val="20"/>
        </w:rPr>
        <w:t>existing</w:t>
      </w:r>
      <w:r w:rsidR="009202CF">
        <w:rPr>
          <w:rFonts w:ascii="Arial" w:hAnsi="Arial" w:cs="Arial"/>
          <w:bCs/>
          <w:sz w:val="20"/>
          <w:szCs w:val="20"/>
        </w:rPr>
        <w:t xml:space="preserve"> policy was established to encourage </w:t>
      </w:r>
      <w:r w:rsidR="00E55FAF">
        <w:rPr>
          <w:rFonts w:ascii="Arial" w:hAnsi="Arial" w:cs="Arial"/>
          <w:bCs/>
          <w:sz w:val="20"/>
          <w:szCs w:val="20"/>
        </w:rPr>
        <w:t>organ</w:t>
      </w:r>
      <w:r w:rsidR="009202CF">
        <w:rPr>
          <w:rFonts w:ascii="Arial" w:hAnsi="Arial" w:cs="Arial"/>
          <w:bCs/>
          <w:sz w:val="20"/>
          <w:szCs w:val="20"/>
        </w:rPr>
        <w:t xml:space="preserve"> transplantation and the scope of Medicare benefits to cover all reasonable preparatory, </w:t>
      </w:r>
      <w:r w:rsidR="008D4474">
        <w:rPr>
          <w:rFonts w:ascii="Arial" w:hAnsi="Arial" w:cs="Arial"/>
          <w:bCs/>
          <w:sz w:val="20"/>
          <w:szCs w:val="20"/>
        </w:rPr>
        <w:t>surgical, and post-surgical</w:t>
      </w:r>
      <w:r w:rsidR="009202CF">
        <w:rPr>
          <w:rFonts w:ascii="Arial" w:hAnsi="Arial" w:cs="Arial"/>
          <w:bCs/>
          <w:sz w:val="20"/>
          <w:szCs w:val="20"/>
        </w:rPr>
        <w:t xml:space="preserve"> expenses associated with a</w:t>
      </w:r>
      <w:r w:rsidR="009B697E">
        <w:rPr>
          <w:rFonts w:ascii="Arial" w:hAnsi="Arial" w:cs="Arial"/>
          <w:bCs/>
          <w:sz w:val="20"/>
          <w:szCs w:val="20"/>
        </w:rPr>
        <w:t>n</w:t>
      </w:r>
      <w:r w:rsidR="009202CF">
        <w:rPr>
          <w:rFonts w:ascii="Arial" w:hAnsi="Arial" w:cs="Arial"/>
          <w:bCs/>
          <w:sz w:val="20"/>
          <w:szCs w:val="20"/>
        </w:rPr>
        <w:t xml:space="preserve"> </w:t>
      </w:r>
      <w:r w:rsidR="00E55FAF">
        <w:rPr>
          <w:rFonts w:ascii="Arial" w:hAnsi="Arial" w:cs="Arial"/>
          <w:bCs/>
          <w:sz w:val="20"/>
          <w:szCs w:val="20"/>
        </w:rPr>
        <w:t>organ</w:t>
      </w:r>
      <w:r w:rsidR="009202CF">
        <w:rPr>
          <w:rFonts w:ascii="Arial" w:hAnsi="Arial" w:cs="Arial"/>
          <w:bCs/>
          <w:sz w:val="20"/>
          <w:szCs w:val="20"/>
        </w:rPr>
        <w:t xml:space="preserve"> donor.</w:t>
      </w:r>
    </w:p>
    <w:p w14:paraId="37252321" w14:textId="77777777" w:rsidR="00BD2417" w:rsidRDefault="00BD2417" w:rsidP="00BD2417">
      <w:pPr>
        <w:rPr>
          <w:rFonts w:ascii="Arial" w:hAnsi="Arial" w:cs="Arial"/>
          <w:bCs/>
          <w:sz w:val="20"/>
          <w:szCs w:val="20"/>
        </w:rPr>
      </w:pPr>
    </w:p>
    <w:p w14:paraId="2BA8B82D" w14:textId="0068184C" w:rsidR="00BD2417" w:rsidRPr="00EE6953" w:rsidRDefault="009202CF" w:rsidP="00BD2417">
      <w:pPr>
        <w:rPr>
          <w:rFonts w:ascii="Arial" w:hAnsi="Arial" w:cs="Arial"/>
          <w:b/>
          <w:sz w:val="20"/>
          <w:szCs w:val="20"/>
        </w:rPr>
      </w:pPr>
      <w:r>
        <w:rPr>
          <w:rFonts w:ascii="Arial" w:hAnsi="Arial" w:cs="Arial"/>
          <w:bCs/>
          <w:sz w:val="20"/>
          <w:szCs w:val="20"/>
        </w:rPr>
        <w:t xml:space="preserve"> </w:t>
      </w:r>
      <w:r w:rsidR="005E4EBD">
        <w:rPr>
          <w:rFonts w:ascii="Arial" w:hAnsi="Arial" w:cs="Arial"/>
          <w:bCs/>
          <w:sz w:val="20"/>
          <w:szCs w:val="20"/>
        </w:rPr>
        <w:t xml:space="preserve">The </w:t>
      </w:r>
      <w:r w:rsidR="005E4EBD" w:rsidRPr="00784CCA">
        <w:rPr>
          <w:rFonts w:ascii="Arial" w:hAnsi="Arial" w:cs="Arial"/>
          <w:bCs/>
          <w:sz w:val="20"/>
          <w:szCs w:val="20"/>
        </w:rPr>
        <w:t xml:space="preserve">CMS now believes that organ tracking capabilities allow THs and OPOs to discern organ recipients’ health insurance </w:t>
      </w:r>
      <w:r w:rsidR="005E4EBD">
        <w:rPr>
          <w:rFonts w:ascii="Arial" w:hAnsi="Arial" w:cs="Arial"/>
          <w:bCs/>
          <w:sz w:val="20"/>
          <w:szCs w:val="20"/>
        </w:rPr>
        <w:t>coverage</w:t>
      </w:r>
      <w:r w:rsidR="005E4EBD" w:rsidRPr="00784CCA">
        <w:rPr>
          <w:rFonts w:ascii="Arial" w:hAnsi="Arial" w:cs="Arial"/>
          <w:bCs/>
          <w:sz w:val="20"/>
          <w:szCs w:val="20"/>
        </w:rPr>
        <w:t xml:space="preserve"> information so that organ acquisition costs can be more appropriately assigned to the Medicare program for </w:t>
      </w:r>
      <w:r w:rsidR="005E4EBD">
        <w:rPr>
          <w:rFonts w:ascii="Arial" w:hAnsi="Arial" w:cs="Arial"/>
          <w:bCs/>
          <w:sz w:val="20"/>
          <w:szCs w:val="20"/>
        </w:rPr>
        <w:t xml:space="preserve">only </w:t>
      </w:r>
      <w:r w:rsidR="005E4EBD" w:rsidRPr="00784CCA">
        <w:rPr>
          <w:rFonts w:ascii="Arial" w:hAnsi="Arial" w:cs="Arial"/>
          <w:bCs/>
          <w:sz w:val="20"/>
          <w:szCs w:val="20"/>
        </w:rPr>
        <w:t xml:space="preserve">organs </w:t>
      </w:r>
      <w:r w:rsidR="008D4474">
        <w:rPr>
          <w:rFonts w:ascii="Arial" w:hAnsi="Arial" w:cs="Arial"/>
          <w:bCs/>
          <w:sz w:val="20"/>
          <w:szCs w:val="20"/>
        </w:rPr>
        <w:t>ultimately</w:t>
      </w:r>
      <w:r w:rsidR="005E4EBD">
        <w:rPr>
          <w:rFonts w:ascii="Arial" w:hAnsi="Arial" w:cs="Arial"/>
          <w:bCs/>
          <w:sz w:val="20"/>
          <w:szCs w:val="20"/>
        </w:rPr>
        <w:t xml:space="preserve"> </w:t>
      </w:r>
      <w:r w:rsidR="005E4EBD" w:rsidRPr="00784CCA">
        <w:rPr>
          <w:rFonts w:ascii="Arial" w:hAnsi="Arial" w:cs="Arial"/>
          <w:bCs/>
          <w:sz w:val="20"/>
          <w:szCs w:val="20"/>
        </w:rPr>
        <w:t xml:space="preserve">transplanted into Medicare </w:t>
      </w:r>
      <w:r w:rsidR="005E4EBD">
        <w:rPr>
          <w:rFonts w:ascii="Arial" w:hAnsi="Arial" w:cs="Arial"/>
          <w:bCs/>
          <w:sz w:val="20"/>
          <w:szCs w:val="20"/>
        </w:rPr>
        <w:t>patients</w:t>
      </w:r>
      <w:r w:rsidR="005E4EBD" w:rsidRPr="00784CCA">
        <w:rPr>
          <w:rFonts w:ascii="Arial" w:hAnsi="Arial" w:cs="Arial"/>
          <w:bCs/>
          <w:sz w:val="20"/>
          <w:szCs w:val="20"/>
        </w:rPr>
        <w:t xml:space="preserve">. </w:t>
      </w:r>
      <w:r w:rsidR="008D4474">
        <w:rPr>
          <w:rFonts w:ascii="Arial" w:hAnsi="Arial" w:cs="Arial"/>
          <w:bCs/>
          <w:sz w:val="20"/>
          <w:szCs w:val="20"/>
        </w:rPr>
        <w:t xml:space="preserve">Tracking this information will create a significant administrative burden for hospitals. </w:t>
      </w:r>
      <w:r w:rsidR="00BD2417" w:rsidRPr="00EE6953">
        <w:rPr>
          <w:rFonts w:ascii="Arial" w:hAnsi="Arial" w:cs="Arial"/>
          <w:b/>
          <w:sz w:val="20"/>
          <w:szCs w:val="20"/>
        </w:rPr>
        <w:t xml:space="preserve">The MHA requests that the CMS withdraw this proposal as it is unworkable given the inability of excising THs to obtain organ recipient payer information when the organ is donated via an OPO to a separate TH. If the CMS opts to move forward with this proposal, we request that the agency delay implementation for a minimum of </w:t>
      </w:r>
      <w:r w:rsidR="00923B95">
        <w:rPr>
          <w:rFonts w:ascii="Arial" w:hAnsi="Arial" w:cs="Arial"/>
          <w:b/>
          <w:sz w:val="20"/>
          <w:szCs w:val="20"/>
        </w:rPr>
        <w:t>5</w:t>
      </w:r>
      <w:r w:rsidR="00BD2417" w:rsidRPr="00EE6953">
        <w:rPr>
          <w:rFonts w:ascii="Arial" w:hAnsi="Arial" w:cs="Arial"/>
          <w:b/>
          <w:sz w:val="20"/>
          <w:szCs w:val="20"/>
        </w:rPr>
        <w:t xml:space="preserve"> years. In the meantime, we urge the CMS to conduct an in-depth review of the potential impact of the proposed transplant-related provisions. </w:t>
      </w:r>
    </w:p>
    <w:p w14:paraId="173737BA" w14:textId="3C61A13A" w:rsidR="009202CF" w:rsidRDefault="009202CF" w:rsidP="00784CCA">
      <w:pPr>
        <w:rPr>
          <w:rFonts w:ascii="Arial" w:hAnsi="Arial" w:cs="Arial"/>
          <w:bCs/>
          <w:sz w:val="20"/>
          <w:szCs w:val="20"/>
        </w:rPr>
      </w:pPr>
    </w:p>
    <w:p w14:paraId="70F531F2" w14:textId="6FDBE570" w:rsidR="00345088" w:rsidRDefault="00345088" w:rsidP="00EE6953">
      <w:pPr>
        <w:rPr>
          <w:rFonts w:ascii="Arial" w:hAnsi="Arial" w:cs="Arial"/>
          <w:bCs/>
          <w:sz w:val="20"/>
          <w:szCs w:val="20"/>
        </w:rPr>
      </w:pPr>
      <w:r>
        <w:rPr>
          <w:rFonts w:ascii="Arial" w:hAnsi="Arial" w:cs="Arial"/>
          <w:b/>
          <w:sz w:val="20"/>
          <w:szCs w:val="20"/>
        </w:rPr>
        <w:t>The MHA is also concerned about the propos</w:t>
      </w:r>
      <w:r w:rsidR="00BD2417">
        <w:rPr>
          <w:rFonts w:ascii="Arial" w:hAnsi="Arial" w:cs="Arial"/>
          <w:b/>
          <w:sz w:val="20"/>
          <w:szCs w:val="20"/>
        </w:rPr>
        <w:t>ed changes th</w:t>
      </w:r>
      <w:r>
        <w:rPr>
          <w:rFonts w:ascii="Arial" w:hAnsi="Arial" w:cs="Arial"/>
          <w:b/>
          <w:sz w:val="20"/>
          <w:szCs w:val="20"/>
        </w:rPr>
        <w:t>a</w:t>
      </w:r>
      <w:r w:rsidR="00BD2417">
        <w:rPr>
          <w:rFonts w:ascii="Arial" w:hAnsi="Arial" w:cs="Arial"/>
          <w:b/>
          <w:sz w:val="20"/>
          <w:szCs w:val="20"/>
        </w:rPr>
        <w:t>t</w:t>
      </w:r>
      <w:r>
        <w:rPr>
          <w:rFonts w:ascii="Arial" w:hAnsi="Arial" w:cs="Arial"/>
          <w:b/>
          <w:sz w:val="20"/>
          <w:szCs w:val="20"/>
        </w:rPr>
        <w:t xml:space="preserve"> </w:t>
      </w:r>
      <w:r w:rsidR="00BD2417">
        <w:rPr>
          <w:rFonts w:ascii="Arial" w:hAnsi="Arial" w:cs="Arial"/>
          <w:b/>
          <w:sz w:val="20"/>
          <w:szCs w:val="20"/>
        </w:rPr>
        <w:t xml:space="preserve">would </w:t>
      </w:r>
      <w:r>
        <w:rPr>
          <w:rFonts w:ascii="Arial" w:hAnsi="Arial" w:cs="Arial"/>
          <w:b/>
          <w:sz w:val="20"/>
          <w:szCs w:val="20"/>
        </w:rPr>
        <w:t>requir</w:t>
      </w:r>
      <w:r w:rsidR="00BD2417">
        <w:rPr>
          <w:rFonts w:ascii="Arial" w:hAnsi="Arial" w:cs="Arial"/>
          <w:b/>
          <w:sz w:val="20"/>
          <w:szCs w:val="20"/>
        </w:rPr>
        <w:t>e</w:t>
      </w:r>
      <w:r>
        <w:rPr>
          <w:rFonts w:ascii="Arial" w:hAnsi="Arial" w:cs="Arial"/>
          <w:b/>
          <w:sz w:val="20"/>
          <w:szCs w:val="20"/>
        </w:rPr>
        <w:t xml:space="preserve"> donor community hospitals to charge OPOs reasonable costs. </w:t>
      </w:r>
      <w:r w:rsidRPr="00345088">
        <w:rPr>
          <w:rFonts w:ascii="Arial" w:hAnsi="Arial" w:cs="Arial"/>
          <w:bCs/>
          <w:sz w:val="20"/>
          <w:szCs w:val="20"/>
        </w:rPr>
        <w:t xml:space="preserve">Currently, Medicare-certified hospitals that are not THs but collaborate with OPOs to procure organs from cadaveric donors for transplantation are referred to as “donor community hospitals”. When a donor community hospital incurs costs for services provided to the cadaveric donor, as authorized by the OPO following the death declaration and consent to organ donation, the hospital bills the OPO its customary charges. </w:t>
      </w:r>
    </w:p>
    <w:p w14:paraId="470DA370" w14:textId="7143C7EA" w:rsidR="000A71D5" w:rsidRDefault="000A71D5" w:rsidP="00EE6953">
      <w:pPr>
        <w:rPr>
          <w:rFonts w:ascii="Arial" w:hAnsi="Arial" w:cs="Arial"/>
          <w:bCs/>
          <w:sz w:val="20"/>
          <w:szCs w:val="20"/>
        </w:rPr>
      </w:pPr>
    </w:p>
    <w:p w14:paraId="5059601B" w14:textId="64C72320" w:rsidR="000A71D5" w:rsidRPr="000A71D5" w:rsidRDefault="000A71D5" w:rsidP="00EE6953">
      <w:pPr>
        <w:rPr>
          <w:rFonts w:ascii="Arial" w:hAnsi="Arial" w:cs="Arial"/>
          <w:b/>
          <w:sz w:val="20"/>
          <w:szCs w:val="20"/>
        </w:rPr>
      </w:pPr>
      <w:r>
        <w:rPr>
          <w:rFonts w:ascii="Arial" w:hAnsi="Arial" w:cs="Arial"/>
          <w:bCs/>
          <w:sz w:val="20"/>
          <w:szCs w:val="20"/>
        </w:rPr>
        <w:t>The CMS proposes to specify that for cost reporting periods beginning on or after Oct. 1, 2021, when a donor community hospital incurs costs for services provided to a cadaveric donor, the donor community hospitals must bill the OPO its customary charges that are reduced to cost by applying its most recently available hospital</w:t>
      </w:r>
      <w:r w:rsidR="00BD2417">
        <w:rPr>
          <w:rFonts w:ascii="Arial" w:hAnsi="Arial" w:cs="Arial"/>
          <w:bCs/>
          <w:sz w:val="20"/>
          <w:szCs w:val="20"/>
        </w:rPr>
        <w:t>-</w:t>
      </w:r>
      <w:r>
        <w:rPr>
          <w:rFonts w:ascii="Arial" w:hAnsi="Arial" w:cs="Arial"/>
          <w:bCs/>
          <w:sz w:val="20"/>
          <w:szCs w:val="20"/>
        </w:rPr>
        <w:t xml:space="preserve">specific cost-to-charge ratio for the period in which the service </w:t>
      </w:r>
      <w:r w:rsidR="00BD2417">
        <w:rPr>
          <w:rFonts w:ascii="Arial" w:hAnsi="Arial" w:cs="Arial"/>
          <w:bCs/>
          <w:sz w:val="20"/>
          <w:szCs w:val="20"/>
        </w:rPr>
        <w:t>i</w:t>
      </w:r>
      <w:r>
        <w:rPr>
          <w:rFonts w:ascii="Arial" w:hAnsi="Arial" w:cs="Arial"/>
          <w:bCs/>
          <w:sz w:val="20"/>
          <w:szCs w:val="20"/>
        </w:rPr>
        <w:t xml:space="preserve">s provided.  We believe that community donor hospitals typically have negotiated rates with the OPO and therefore reimbursement for excised organs is not based on charges. We also note that there is opportunity cost incurred when a community donor hospital uses its operating room to excise cadaveric organs which often requires a scheduled procedure to be canceled or delayed since hospitals infrequently have idle operating rooms. If the CMS opts to finalize its proposal to cap community donor hospital payment from OPOs for excised organs to the procedure’s cost, we are concerned that it will decrease the number of viable recovered organs and ultimately reduce access to organ transplantation for </w:t>
      </w:r>
      <w:r w:rsidR="00F03AD2">
        <w:rPr>
          <w:rFonts w:ascii="Arial" w:hAnsi="Arial" w:cs="Arial"/>
          <w:bCs/>
          <w:sz w:val="20"/>
          <w:szCs w:val="20"/>
        </w:rPr>
        <w:t>all</w:t>
      </w:r>
      <w:r>
        <w:rPr>
          <w:rFonts w:ascii="Arial" w:hAnsi="Arial" w:cs="Arial"/>
          <w:bCs/>
          <w:sz w:val="20"/>
          <w:szCs w:val="20"/>
        </w:rPr>
        <w:t xml:space="preserve"> patients who need this lifesaving procedure and are often on waiting lists for years. </w:t>
      </w:r>
      <w:r w:rsidRPr="000A71D5">
        <w:rPr>
          <w:rFonts w:ascii="Arial" w:hAnsi="Arial" w:cs="Arial"/>
          <w:b/>
          <w:sz w:val="20"/>
          <w:szCs w:val="20"/>
        </w:rPr>
        <w:t xml:space="preserve">The MHA opposes the CMS’ proposal to limit payment to the community donor hospitals to costs rather than charges or their negotiated rate and request that the agency withdraw this proposal. </w:t>
      </w:r>
    </w:p>
    <w:p w14:paraId="23AE7BB3" w14:textId="77777777" w:rsidR="00784CCA" w:rsidRPr="00784CCA" w:rsidRDefault="00784CCA" w:rsidP="00784CCA">
      <w:pPr>
        <w:rPr>
          <w:rFonts w:ascii="Arial" w:hAnsi="Arial" w:cs="Arial"/>
          <w:bCs/>
          <w:sz w:val="20"/>
          <w:szCs w:val="20"/>
        </w:rPr>
      </w:pPr>
    </w:p>
    <w:p w14:paraId="2369FB1A" w14:textId="35FE3A3C" w:rsidR="00862539" w:rsidRPr="00E718AB" w:rsidRDefault="005527F9" w:rsidP="00216A78">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 xml:space="preserve">FULL </w:t>
      </w:r>
      <w:r w:rsidR="00862539" w:rsidRPr="00E718AB">
        <w:rPr>
          <w:rFonts w:ascii="Arial" w:hAnsi="Arial" w:cs="Arial"/>
          <w:b/>
          <w:color w:val="000000"/>
          <w:sz w:val="20"/>
          <w:szCs w:val="20"/>
          <w:highlight w:val="lightGray"/>
          <w:u w:val="single"/>
        </w:rPr>
        <w:t xml:space="preserve">RESTORATION OF ATRA DOCUMENTATION AND CODING OFFSET </w:t>
      </w:r>
    </w:p>
    <w:p w14:paraId="38E1F3AF" w14:textId="448BCD3E" w:rsidR="00862539" w:rsidRPr="00862539" w:rsidRDefault="00862539" w:rsidP="00A35FD4">
      <w:pPr>
        <w:rPr>
          <w:rFonts w:ascii="Arial" w:hAnsi="Arial" w:cs="Arial"/>
          <w:b/>
          <w:sz w:val="20"/>
          <w:szCs w:val="20"/>
          <w:u w:val="single"/>
        </w:rPr>
      </w:pPr>
      <w:r w:rsidRPr="00862539">
        <w:rPr>
          <w:rFonts w:ascii="Arial" w:hAnsi="Arial" w:cs="Arial"/>
          <w:b/>
          <w:sz w:val="20"/>
          <w:szCs w:val="20"/>
          <w:u w:val="single"/>
        </w:rPr>
        <w:t xml:space="preserve"> </w:t>
      </w:r>
    </w:p>
    <w:p w14:paraId="4F4E437C" w14:textId="6391CB7D" w:rsidR="00862539" w:rsidRPr="00862539" w:rsidRDefault="00862539" w:rsidP="00862539">
      <w:pPr>
        <w:rPr>
          <w:rFonts w:ascii="Arial" w:hAnsi="Arial" w:cs="Arial"/>
          <w:sz w:val="20"/>
          <w:szCs w:val="20"/>
        </w:rPr>
      </w:pPr>
      <w:r w:rsidRPr="00862539">
        <w:rPr>
          <w:rFonts w:ascii="Arial" w:hAnsi="Arial" w:cs="Arial"/>
          <w:sz w:val="20"/>
          <w:szCs w:val="20"/>
        </w:rPr>
        <w:t>The CMS implemented a 0.8</w:t>
      </w:r>
      <w:r w:rsidR="00A22B1B">
        <w:rPr>
          <w:rFonts w:ascii="Arial" w:hAnsi="Arial" w:cs="Arial"/>
          <w:sz w:val="20"/>
          <w:szCs w:val="20"/>
        </w:rPr>
        <w:t>%</w:t>
      </w:r>
      <w:r w:rsidRPr="00862539">
        <w:rPr>
          <w:rFonts w:ascii="Arial" w:hAnsi="Arial" w:cs="Arial"/>
          <w:sz w:val="20"/>
          <w:szCs w:val="20"/>
        </w:rPr>
        <w:t xml:space="preserve"> cut to the annual marketbasket update in FYs 2014-2016 to recoup the effect of documentation and coding changes that </w:t>
      </w:r>
      <w:r w:rsidR="002E33DD">
        <w:rPr>
          <w:rFonts w:ascii="Arial" w:hAnsi="Arial" w:cs="Arial"/>
          <w:sz w:val="20"/>
          <w:szCs w:val="20"/>
        </w:rPr>
        <w:t>it</w:t>
      </w:r>
      <w:r w:rsidRPr="00862539">
        <w:rPr>
          <w:rFonts w:ascii="Arial" w:hAnsi="Arial" w:cs="Arial"/>
          <w:sz w:val="20"/>
          <w:szCs w:val="20"/>
        </w:rPr>
        <w:t xml:space="preserve"> believe</w:t>
      </w:r>
      <w:r w:rsidR="007F0E05">
        <w:rPr>
          <w:rFonts w:ascii="Arial" w:hAnsi="Arial" w:cs="Arial"/>
          <w:sz w:val="20"/>
          <w:szCs w:val="20"/>
        </w:rPr>
        <w:t>d</w:t>
      </w:r>
      <w:r w:rsidRPr="00862539">
        <w:rPr>
          <w:rFonts w:ascii="Arial" w:hAnsi="Arial" w:cs="Arial"/>
          <w:sz w:val="20"/>
          <w:szCs w:val="20"/>
        </w:rPr>
        <w:t xml:space="preserve"> do not reflect real changes in patient acuity. For FY 2017, the CMS increased this cut from 0.8 percentage points to 1.5 percentage points to achieve the $11 billion targeted </w:t>
      </w:r>
      <w:r w:rsidR="007F0E05">
        <w:rPr>
          <w:rFonts w:ascii="Arial" w:hAnsi="Arial" w:cs="Arial"/>
          <w:sz w:val="20"/>
          <w:szCs w:val="20"/>
        </w:rPr>
        <w:t>by</w:t>
      </w:r>
      <w:r w:rsidRPr="00862539">
        <w:rPr>
          <w:rFonts w:ascii="Arial" w:hAnsi="Arial" w:cs="Arial"/>
          <w:sz w:val="20"/>
          <w:szCs w:val="20"/>
        </w:rPr>
        <w:t xml:space="preserve"> the A</w:t>
      </w:r>
      <w:r w:rsidR="001A08DA">
        <w:rPr>
          <w:rFonts w:ascii="Arial" w:hAnsi="Arial" w:cs="Arial"/>
          <w:sz w:val="20"/>
          <w:szCs w:val="20"/>
        </w:rPr>
        <w:t>merican Taxpayer Relief Act (A</w:t>
      </w:r>
      <w:r w:rsidRPr="00862539">
        <w:rPr>
          <w:rFonts w:ascii="Arial" w:hAnsi="Arial" w:cs="Arial"/>
          <w:sz w:val="20"/>
          <w:szCs w:val="20"/>
        </w:rPr>
        <w:t>TRA</w:t>
      </w:r>
      <w:r w:rsidR="001A08DA">
        <w:rPr>
          <w:rFonts w:ascii="Arial" w:hAnsi="Arial" w:cs="Arial"/>
          <w:sz w:val="20"/>
          <w:szCs w:val="20"/>
        </w:rPr>
        <w:t>)</w:t>
      </w:r>
      <w:r w:rsidRPr="00862539">
        <w:rPr>
          <w:rFonts w:ascii="Arial" w:hAnsi="Arial" w:cs="Arial"/>
          <w:sz w:val="20"/>
          <w:szCs w:val="20"/>
        </w:rPr>
        <w:t xml:space="preserve">. </w:t>
      </w:r>
      <w:r w:rsidR="00AE736A">
        <w:rPr>
          <w:rFonts w:ascii="Arial" w:hAnsi="Arial" w:cs="Arial"/>
          <w:sz w:val="20"/>
          <w:szCs w:val="20"/>
        </w:rPr>
        <w:t>In total</w:t>
      </w:r>
      <w:r w:rsidR="001A08DA">
        <w:rPr>
          <w:rFonts w:ascii="Arial" w:hAnsi="Arial" w:cs="Arial"/>
          <w:sz w:val="20"/>
          <w:szCs w:val="20"/>
        </w:rPr>
        <w:t>,</w:t>
      </w:r>
      <w:r w:rsidR="00AE736A">
        <w:rPr>
          <w:rFonts w:ascii="Arial" w:hAnsi="Arial" w:cs="Arial"/>
          <w:sz w:val="20"/>
          <w:szCs w:val="20"/>
        </w:rPr>
        <w:t xml:space="preserve"> these cuts </w:t>
      </w:r>
      <w:r w:rsidR="001A08DA">
        <w:rPr>
          <w:rFonts w:ascii="Arial" w:hAnsi="Arial" w:cs="Arial"/>
          <w:sz w:val="20"/>
          <w:szCs w:val="20"/>
        </w:rPr>
        <w:t xml:space="preserve">reduced hospital </w:t>
      </w:r>
      <w:r w:rsidR="001A08DA">
        <w:rPr>
          <w:rFonts w:ascii="Arial" w:hAnsi="Arial" w:cs="Arial"/>
          <w:sz w:val="20"/>
          <w:szCs w:val="20"/>
        </w:rPr>
        <w:lastRenderedPageBreak/>
        <w:t>i</w:t>
      </w:r>
      <w:r w:rsidR="00AE736A">
        <w:rPr>
          <w:rFonts w:ascii="Arial" w:hAnsi="Arial" w:cs="Arial"/>
          <w:sz w:val="20"/>
          <w:szCs w:val="20"/>
        </w:rPr>
        <w:t>npatient payments</w:t>
      </w:r>
      <w:r w:rsidR="001A08DA">
        <w:rPr>
          <w:rFonts w:ascii="Arial" w:hAnsi="Arial" w:cs="Arial"/>
          <w:sz w:val="20"/>
          <w:szCs w:val="20"/>
        </w:rPr>
        <w:t xml:space="preserve"> by 3.9%</w:t>
      </w:r>
      <w:r w:rsidR="00AE736A">
        <w:rPr>
          <w:rFonts w:ascii="Arial" w:hAnsi="Arial" w:cs="Arial"/>
          <w:sz w:val="20"/>
          <w:szCs w:val="20"/>
        </w:rPr>
        <w:t>.</w:t>
      </w:r>
      <w:r w:rsidR="00FC7139">
        <w:rPr>
          <w:rFonts w:ascii="Arial" w:hAnsi="Arial" w:cs="Arial"/>
          <w:sz w:val="20"/>
          <w:szCs w:val="20"/>
        </w:rPr>
        <w:t xml:space="preserve"> The CMS mandated a positive 0.5% adjustment for each year</w:t>
      </w:r>
      <w:r w:rsidR="001D17A2">
        <w:rPr>
          <w:rFonts w:ascii="Arial" w:hAnsi="Arial" w:cs="Arial"/>
          <w:sz w:val="20"/>
          <w:szCs w:val="20"/>
        </w:rPr>
        <w:t xml:space="preserve"> from</w:t>
      </w:r>
      <w:r w:rsidR="00FC7139">
        <w:rPr>
          <w:rFonts w:ascii="Arial" w:hAnsi="Arial" w:cs="Arial"/>
          <w:sz w:val="20"/>
          <w:szCs w:val="20"/>
        </w:rPr>
        <w:t xml:space="preserve"> FY 2018 </w:t>
      </w:r>
      <w:r w:rsidR="001D17A2">
        <w:rPr>
          <w:rFonts w:ascii="Arial" w:hAnsi="Arial" w:cs="Arial"/>
          <w:sz w:val="20"/>
          <w:szCs w:val="20"/>
        </w:rPr>
        <w:t xml:space="preserve">through </w:t>
      </w:r>
      <w:r w:rsidR="00FC7139">
        <w:rPr>
          <w:rFonts w:ascii="Arial" w:hAnsi="Arial" w:cs="Arial"/>
          <w:sz w:val="20"/>
          <w:szCs w:val="20"/>
        </w:rPr>
        <w:t>FY 20</w:t>
      </w:r>
      <w:r w:rsidR="001767A6">
        <w:rPr>
          <w:rFonts w:ascii="Arial" w:hAnsi="Arial" w:cs="Arial"/>
          <w:sz w:val="20"/>
          <w:szCs w:val="20"/>
        </w:rPr>
        <w:t>2</w:t>
      </w:r>
      <w:r w:rsidR="00FC7139">
        <w:rPr>
          <w:rFonts w:ascii="Arial" w:hAnsi="Arial" w:cs="Arial"/>
          <w:sz w:val="20"/>
          <w:szCs w:val="20"/>
        </w:rPr>
        <w:t>3 to off</w:t>
      </w:r>
      <w:r w:rsidR="001767A6">
        <w:rPr>
          <w:rFonts w:ascii="Arial" w:hAnsi="Arial" w:cs="Arial"/>
          <w:sz w:val="20"/>
          <w:szCs w:val="20"/>
        </w:rPr>
        <w:t xml:space="preserve">set the previous recoupment. </w:t>
      </w:r>
      <w:r w:rsidR="001A08DA">
        <w:rPr>
          <w:rFonts w:ascii="Arial" w:hAnsi="Arial" w:cs="Arial"/>
          <w:sz w:val="20"/>
          <w:szCs w:val="20"/>
        </w:rPr>
        <w:t>The 21</w:t>
      </w:r>
      <w:r w:rsidR="001A08DA" w:rsidRPr="001A08DA">
        <w:rPr>
          <w:rFonts w:ascii="Arial" w:hAnsi="Arial" w:cs="Arial"/>
          <w:sz w:val="20"/>
          <w:szCs w:val="20"/>
          <w:vertAlign w:val="superscript"/>
        </w:rPr>
        <w:t>st</w:t>
      </w:r>
      <w:r w:rsidR="001A08DA">
        <w:rPr>
          <w:rFonts w:ascii="Arial" w:hAnsi="Arial" w:cs="Arial"/>
          <w:sz w:val="20"/>
          <w:szCs w:val="20"/>
        </w:rPr>
        <w:t xml:space="preserve"> Century Cures Act subsequently reduced the FY 2018 “add-back” from 0.5% to 0.4588%. </w:t>
      </w:r>
      <w:r w:rsidR="00B93B94">
        <w:rPr>
          <w:rFonts w:ascii="Arial" w:hAnsi="Arial" w:cs="Arial"/>
          <w:sz w:val="20"/>
          <w:szCs w:val="20"/>
        </w:rPr>
        <w:t xml:space="preserve">Cumulatively after all negative and positive adjustments, hospitals will have a permanent payment reduction of approximately 1%.  </w:t>
      </w:r>
    </w:p>
    <w:p w14:paraId="271B87C5" w14:textId="77777777" w:rsidR="00862539" w:rsidRPr="00862539" w:rsidRDefault="00862539" w:rsidP="00862539">
      <w:pPr>
        <w:rPr>
          <w:rFonts w:ascii="Arial" w:hAnsi="Arial" w:cs="Arial"/>
          <w:sz w:val="20"/>
          <w:szCs w:val="20"/>
        </w:rPr>
      </w:pPr>
    </w:p>
    <w:p w14:paraId="4B6C1095" w14:textId="707064EF" w:rsidR="00A06B26" w:rsidRDefault="00862539" w:rsidP="00A06B26">
      <w:pPr>
        <w:rPr>
          <w:rFonts w:ascii="Arial" w:hAnsi="Arial" w:cs="Arial"/>
          <w:b/>
          <w:sz w:val="20"/>
          <w:szCs w:val="20"/>
        </w:rPr>
      </w:pPr>
      <w:r w:rsidRPr="00862539">
        <w:rPr>
          <w:rFonts w:ascii="Arial" w:hAnsi="Arial" w:cs="Arial"/>
          <w:b/>
          <w:sz w:val="20"/>
          <w:szCs w:val="20"/>
        </w:rPr>
        <w:t>The MHA believes</w:t>
      </w:r>
      <w:r w:rsidR="00AE736A">
        <w:rPr>
          <w:rFonts w:ascii="Arial" w:hAnsi="Arial" w:cs="Arial"/>
          <w:b/>
          <w:sz w:val="20"/>
          <w:szCs w:val="20"/>
        </w:rPr>
        <w:t xml:space="preserve"> </w:t>
      </w:r>
      <w:r w:rsidRPr="00862539">
        <w:rPr>
          <w:rFonts w:ascii="Arial" w:hAnsi="Arial" w:cs="Arial"/>
          <w:b/>
          <w:sz w:val="20"/>
          <w:szCs w:val="20"/>
        </w:rPr>
        <w:t xml:space="preserve">that the CMS should </w:t>
      </w:r>
      <w:r w:rsidR="00AE736A">
        <w:rPr>
          <w:rFonts w:ascii="Arial" w:hAnsi="Arial" w:cs="Arial"/>
          <w:b/>
          <w:sz w:val="20"/>
          <w:szCs w:val="20"/>
        </w:rPr>
        <w:t xml:space="preserve">restore </w:t>
      </w:r>
      <w:r w:rsidRPr="00862539">
        <w:rPr>
          <w:rFonts w:ascii="Arial" w:hAnsi="Arial" w:cs="Arial"/>
          <w:b/>
          <w:sz w:val="20"/>
          <w:szCs w:val="20"/>
        </w:rPr>
        <w:t>the full 3.9</w:t>
      </w:r>
      <w:r w:rsidR="00A22B1B">
        <w:rPr>
          <w:rFonts w:ascii="Arial" w:hAnsi="Arial" w:cs="Arial"/>
          <w:b/>
          <w:sz w:val="20"/>
          <w:szCs w:val="20"/>
        </w:rPr>
        <w:t xml:space="preserve">% </w:t>
      </w:r>
      <w:r w:rsidR="007F0E05">
        <w:rPr>
          <w:rFonts w:ascii="Arial" w:hAnsi="Arial" w:cs="Arial"/>
          <w:b/>
          <w:sz w:val="20"/>
          <w:szCs w:val="20"/>
        </w:rPr>
        <w:t xml:space="preserve">that was </w:t>
      </w:r>
      <w:r w:rsidRPr="00862539">
        <w:rPr>
          <w:rFonts w:ascii="Arial" w:hAnsi="Arial" w:cs="Arial"/>
          <w:b/>
          <w:sz w:val="20"/>
          <w:szCs w:val="20"/>
        </w:rPr>
        <w:t xml:space="preserve">withheld </w:t>
      </w:r>
      <w:r w:rsidR="007F0E05">
        <w:rPr>
          <w:rFonts w:ascii="Arial" w:hAnsi="Arial" w:cs="Arial"/>
          <w:b/>
          <w:sz w:val="20"/>
          <w:szCs w:val="20"/>
        </w:rPr>
        <w:t>from</w:t>
      </w:r>
      <w:r w:rsidRPr="00862539">
        <w:rPr>
          <w:rFonts w:ascii="Arial" w:hAnsi="Arial" w:cs="Arial"/>
          <w:b/>
          <w:sz w:val="20"/>
          <w:szCs w:val="20"/>
        </w:rPr>
        <w:t xml:space="preserve"> hospitals. </w:t>
      </w:r>
      <w:r w:rsidR="00A22B1B">
        <w:rPr>
          <w:rFonts w:ascii="Arial" w:hAnsi="Arial" w:cs="Arial"/>
          <w:b/>
          <w:sz w:val="20"/>
          <w:szCs w:val="20"/>
        </w:rPr>
        <w:t>We</w:t>
      </w:r>
      <w:r w:rsidR="00A06B26" w:rsidRPr="0037567A">
        <w:rPr>
          <w:rFonts w:ascii="Arial" w:hAnsi="Arial" w:cs="Arial"/>
          <w:b/>
          <w:sz w:val="20"/>
          <w:szCs w:val="20"/>
        </w:rPr>
        <w:t xml:space="preserve"> recommend that the CMS use its authority </w:t>
      </w:r>
      <w:r w:rsidR="00BC6502">
        <w:rPr>
          <w:rFonts w:ascii="Arial" w:hAnsi="Arial" w:cs="Arial"/>
          <w:b/>
          <w:sz w:val="20"/>
          <w:szCs w:val="20"/>
        </w:rPr>
        <w:t xml:space="preserve">and </w:t>
      </w:r>
      <w:r w:rsidR="00A06B26" w:rsidRPr="0037567A">
        <w:rPr>
          <w:rFonts w:ascii="Arial" w:hAnsi="Arial" w:cs="Arial"/>
          <w:b/>
          <w:sz w:val="20"/>
          <w:szCs w:val="20"/>
        </w:rPr>
        <w:t xml:space="preserve">adjust </w:t>
      </w:r>
      <w:r w:rsidR="00BC6502">
        <w:rPr>
          <w:rFonts w:ascii="Arial" w:hAnsi="Arial" w:cs="Arial"/>
          <w:b/>
          <w:sz w:val="20"/>
          <w:szCs w:val="20"/>
        </w:rPr>
        <w:t>hospital</w:t>
      </w:r>
      <w:r w:rsidR="00A06B26" w:rsidRPr="0037567A">
        <w:rPr>
          <w:rFonts w:ascii="Arial" w:hAnsi="Arial" w:cs="Arial"/>
          <w:b/>
          <w:sz w:val="20"/>
          <w:szCs w:val="20"/>
        </w:rPr>
        <w:t xml:space="preserve"> payment amounts to re</w:t>
      </w:r>
      <w:r w:rsidR="007F0E05">
        <w:rPr>
          <w:rFonts w:ascii="Arial" w:hAnsi="Arial" w:cs="Arial"/>
          <w:b/>
          <w:sz w:val="20"/>
          <w:szCs w:val="20"/>
        </w:rPr>
        <w:t>turn</w:t>
      </w:r>
      <w:r w:rsidR="00AE736A">
        <w:rPr>
          <w:rFonts w:ascii="Arial" w:hAnsi="Arial" w:cs="Arial"/>
          <w:b/>
          <w:sz w:val="20"/>
          <w:szCs w:val="20"/>
        </w:rPr>
        <w:t xml:space="preserve"> the payments previously withheld from hospitals</w:t>
      </w:r>
      <w:r w:rsidR="00A06B26" w:rsidRPr="0037567A">
        <w:rPr>
          <w:rFonts w:ascii="Arial" w:hAnsi="Arial" w:cs="Arial"/>
          <w:b/>
          <w:sz w:val="20"/>
          <w:szCs w:val="20"/>
        </w:rPr>
        <w:t>.</w:t>
      </w:r>
    </w:p>
    <w:p w14:paraId="06D271F6" w14:textId="77777777" w:rsidR="007B28BA" w:rsidRPr="007B28BA" w:rsidRDefault="007B28BA" w:rsidP="007B28BA">
      <w:pPr>
        <w:rPr>
          <w:rFonts w:ascii="Arial" w:hAnsi="Arial" w:cs="Arial"/>
          <w:b/>
          <w:color w:val="000000"/>
          <w:sz w:val="20"/>
          <w:szCs w:val="20"/>
          <w:u w:val="single"/>
        </w:rPr>
      </w:pPr>
    </w:p>
    <w:p w14:paraId="496D7088" w14:textId="0AE023D1" w:rsidR="005759C2" w:rsidRPr="00E718AB" w:rsidRDefault="005759C2" w:rsidP="00216A78">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I</w:t>
      </w:r>
      <w:r w:rsidR="00631DB6" w:rsidRPr="00E718AB">
        <w:rPr>
          <w:rFonts w:ascii="Arial" w:hAnsi="Arial" w:cs="Arial"/>
          <w:b/>
          <w:color w:val="000000"/>
          <w:sz w:val="20"/>
          <w:szCs w:val="20"/>
          <w:highlight w:val="lightGray"/>
          <w:u w:val="single"/>
        </w:rPr>
        <w:t>NPATIENT QUALITY REPORTING PROGRAM</w:t>
      </w:r>
    </w:p>
    <w:p w14:paraId="7B2C7F68" w14:textId="77777777" w:rsidR="00216A78" w:rsidRDefault="00216A78" w:rsidP="005759C2">
      <w:pPr>
        <w:rPr>
          <w:rFonts w:ascii="Arial" w:hAnsi="Arial" w:cs="Arial"/>
          <w:b/>
          <w:smallCaps/>
          <w:sz w:val="20"/>
          <w:szCs w:val="20"/>
          <w:u w:val="single"/>
        </w:rPr>
      </w:pPr>
    </w:p>
    <w:p w14:paraId="0682DAC4" w14:textId="3D7ED00A" w:rsidR="005759C2" w:rsidRPr="00216A78" w:rsidRDefault="00216A78" w:rsidP="00216A78">
      <w:pPr>
        <w:autoSpaceDE w:val="0"/>
        <w:autoSpaceDN w:val="0"/>
        <w:adjustRightInd w:val="0"/>
        <w:rPr>
          <w:rFonts w:ascii="Arial" w:hAnsi="Arial" w:cs="Arial"/>
          <w:b/>
          <w:i/>
          <w:iCs/>
          <w:color w:val="000000"/>
          <w:sz w:val="20"/>
          <w:szCs w:val="20"/>
          <w:u w:val="single"/>
        </w:rPr>
      </w:pPr>
      <w:r>
        <w:rPr>
          <w:rFonts w:ascii="Arial" w:hAnsi="Arial" w:cs="Arial"/>
          <w:b/>
          <w:i/>
          <w:iCs/>
          <w:color w:val="000000"/>
          <w:sz w:val="20"/>
          <w:szCs w:val="20"/>
          <w:u w:val="single"/>
        </w:rPr>
        <w:t>A</w:t>
      </w:r>
      <w:r w:rsidR="005759C2" w:rsidRPr="00216A78">
        <w:rPr>
          <w:rFonts w:ascii="Arial" w:hAnsi="Arial" w:cs="Arial"/>
          <w:b/>
          <w:i/>
          <w:iCs/>
          <w:color w:val="000000"/>
          <w:sz w:val="20"/>
          <w:szCs w:val="20"/>
          <w:u w:val="single"/>
        </w:rPr>
        <w:t xml:space="preserve">doption of COVID-19 Vaccination among Healthcare Personnel (HCP) Measure </w:t>
      </w:r>
    </w:p>
    <w:p w14:paraId="650F3E02" w14:textId="3BFB50F0" w:rsidR="005759C2" w:rsidRPr="005759C2" w:rsidRDefault="005759C2" w:rsidP="005759C2">
      <w:pPr>
        <w:rPr>
          <w:rFonts w:ascii="Arial" w:hAnsi="Arial" w:cs="Arial"/>
          <w:b/>
          <w:sz w:val="20"/>
          <w:szCs w:val="20"/>
        </w:rPr>
      </w:pPr>
      <w:r w:rsidRPr="005759C2">
        <w:rPr>
          <w:rFonts w:ascii="Arial" w:hAnsi="Arial" w:cs="Arial"/>
          <w:sz w:val="20"/>
          <w:szCs w:val="20"/>
        </w:rPr>
        <w:t>The MHA appreciates that this proposed measure represents an effort by the CMS to advance measurement to address the public health emergency and provide consumers with data to make an informed decision when choosing a</w:t>
      </w:r>
      <w:r w:rsidR="00631DB6">
        <w:rPr>
          <w:rFonts w:ascii="Arial" w:hAnsi="Arial" w:cs="Arial"/>
          <w:sz w:val="20"/>
          <w:szCs w:val="20"/>
        </w:rPr>
        <w:t xml:space="preserve"> hospital</w:t>
      </w:r>
      <w:r w:rsidRPr="005759C2">
        <w:rPr>
          <w:rFonts w:ascii="Arial" w:hAnsi="Arial" w:cs="Arial"/>
          <w:sz w:val="20"/>
          <w:szCs w:val="20"/>
        </w:rPr>
        <w:t xml:space="preserve">. </w:t>
      </w:r>
      <w:r w:rsidRPr="005759C2">
        <w:rPr>
          <w:rFonts w:ascii="Arial" w:hAnsi="Arial" w:cs="Arial"/>
          <w:b/>
          <w:bCs/>
          <w:sz w:val="20"/>
          <w:szCs w:val="20"/>
        </w:rPr>
        <w:t>However, we</w:t>
      </w:r>
      <w:r w:rsidRPr="005759C2">
        <w:rPr>
          <w:rFonts w:ascii="Arial" w:hAnsi="Arial" w:cs="Arial"/>
          <w:b/>
          <w:sz w:val="20"/>
          <w:szCs w:val="20"/>
        </w:rPr>
        <w:t xml:space="preserve"> believe that advancing this measure prior to full approval by the Food and Drug Administration (FDA) is premature. As such, we oppose the adoption of this measure at the </w:t>
      </w:r>
      <w:r w:rsidR="00D43C49">
        <w:rPr>
          <w:rFonts w:ascii="Arial" w:hAnsi="Arial" w:cs="Arial"/>
          <w:b/>
          <w:sz w:val="20"/>
          <w:szCs w:val="20"/>
        </w:rPr>
        <w:t>current</w:t>
      </w:r>
      <w:r w:rsidRPr="005759C2">
        <w:rPr>
          <w:rFonts w:ascii="Arial" w:hAnsi="Arial" w:cs="Arial"/>
          <w:b/>
          <w:sz w:val="20"/>
          <w:szCs w:val="20"/>
        </w:rPr>
        <w:t xml:space="preserve"> time for reasons highlighted below.</w:t>
      </w:r>
    </w:p>
    <w:p w14:paraId="14CAC465" w14:textId="77777777" w:rsidR="005759C2" w:rsidRPr="005759C2" w:rsidRDefault="005759C2" w:rsidP="005759C2">
      <w:pPr>
        <w:rPr>
          <w:rFonts w:ascii="Arial" w:hAnsi="Arial" w:cs="Arial"/>
          <w:b/>
          <w:sz w:val="20"/>
          <w:szCs w:val="20"/>
        </w:rPr>
      </w:pPr>
    </w:p>
    <w:p w14:paraId="41DD1F39" w14:textId="27092E63" w:rsidR="005759C2" w:rsidRPr="00107400" w:rsidRDefault="005759C2" w:rsidP="00107400">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Vaccine hesitancy</w:t>
      </w:r>
    </w:p>
    <w:p w14:paraId="5B03A0F3" w14:textId="29FA41D3" w:rsidR="005759C2" w:rsidRPr="00107400" w:rsidRDefault="005759C2" w:rsidP="00107400">
      <w:pPr>
        <w:pStyle w:val="ListParagraph"/>
        <w:rPr>
          <w:rFonts w:ascii="Arial" w:hAnsi="Arial" w:cs="Arial"/>
          <w:sz w:val="20"/>
          <w:szCs w:val="20"/>
        </w:rPr>
      </w:pPr>
      <w:r w:rsidRPr="00107400">
        <w:rPr>
          <w:rFonts w:ascii="Arial" w:hAnsi="Arial" w:cs="Arial"/>
          <w:sz w:val="20"/>
          <w:szCs w:val="20"/>
        </w:rPr>
        <w:t>The COVID-19 vaccines are currently approved through an emergency use authorization and a significant number of Americans have chosen not to be vaccinated because of concerns regarding serious adverse events, the compressed timeline for development and approval, and general mistrust of the government and public health community. Vaccine hesitancy has created challenges among</w:t>
      </w:r>
      <w:r w:rsidR="00B66E71" w:rsidRPr="00107400">
        <w:rPr>
          <w:rFonts w:ascii="Arial" w:hAnsi="Arial" w:cs="Arial"/>
          <w:sz w:val="20"/>
          <w:szCs w:val="20"/>
        </w:rPr>
        <w:t xml:space="preserve"> both</w:t>
      </w:r>
      <w:r w:rsidRPr="00107400">
        <w:rPr>
          <w:rFonts w:ascii="Arial" w:hAnsi="Arial" w:cs="Arial"/>
          <w:sz w:val="20"/>
          <w:szCs w:val="20"/>
        </w:rPr>
        <w:t xml:space="preserve"> the </w:t>
      </w:r>
      <w:proofErr w:type="gramStart"/>
      <w:r w:rsidRPr="00107400">
        <w:rPr>
          <w:rFonts w:ascii="Arial" w:hAnsi="Arial" w:cs="Arial"/>
          <w:sz w:val="20"/>
          <w:szCs w:val="20"/>
        </w:rPr>
        <w:t>general public</w:t>
      </w:r>
      <w:proofErr w:type="gramEnd"/>
      <w:r w:rsidRPr="00107400">
        <w:rPr>
          <w:rFonts w:ascii="Arial" w:hAnsi="Arial" w:cs="Arial"/>
          <w:sz w:val="20"/>
          <w:szCs w:val="20"/>
        </w:rPr>
        <w:t xml:space="preserve"> and among HCP.</w:t>
      </w:r>
    </w:p>
    <w:p w14:paraId="354282EA" w14:textId="77777777" w:rsidR="005759C2" w:rsidRPr="005759C2" w:rsidRDefault="005759C2" w:rsidP="005759C2">
      <w:pPr>
        <w:rPr>
          <w:rFonts w:ascii="Arial" w:hAnsi="Arial" w:cs="Arial"/>
          <w:sz w:val="20"/>
          <w:szCs w:val="20"/>
        </w:rPr>
      </w:pPr>
    </w:p>
    <w:p w14:paraId="53A50F6B" w14:textId="77777777" w:rsidR="005759C2" w:rsidRPr="00107400" w:rsidRDefault="005759C2" w:rsidP="00107400">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Unintended consequences and legal risk</w:t>
      </w:r>
    </w:p>
    <w:p w14:paraId="7E4D4F7D" w14:textId="65B8879E" w:rsidR="005759C2" w:rsidRPr="00107400" w:rsidRDefault="005759C2" w:rsidP="00107400">
      <w:pPr>
        <w:pStyle w:val="ListParagraph"/>
        <w:rPr>
          <w:rFonts w:ascii="Arial" w:hAnsi="Arial" w:cs="Arial"/>
          <w:sz w:val="20"/>
          <w:szCs w:val="20"/>
        </w:rPr>
      </w:pPr>
      <w:r w:rsidRPr="00107400">
        <w:rPr>
          <w:rFonts w:ascii="Arial" w:hAnsi="Arial" w:cs="Arial"/>
          <w:sz w:val="20"/>
          <w:szCs w:val="20"/>
        </w:rPr>
        <w:t xml:space="preserve">If this measure were adopted and publicly reported, </w:t>
      </w:r>
      <w:r w:rsidR="00631DB6" w:rsidRPr="00107400">
        <w:rPr>
          <w:rFonts w:ascii="Arial" w:hAnsi="Arial" w:cs="Arial"/>
          <w:sz w:val="20"/>
          <w:szCs w:val="20"/>
        </w:rPr>
        <w:t>hospitals</w:t>
      </w:r>
      <w:r w:rsidRPr="00107400">
        <w:rPr>
          <w:rFonts w:ascii="Arial" w:hAnsi="Arial" w:cs="Arial"/>
          <w:sz w:val="20"/>
          <w:szCs w:val="20"/>
        </w:rPr>
        <w:t xml:space="preserve"> would be held accountable for HCP vaccinations. The MHA is concerned that some </w:t>
      </w:r>
      <w:r w:rsidR="00631DB6" w:rsidRPr="00107400">
        <w:rPr>
          <w:rFonts w:ascii="Arial" w:hAnsi="Arial" w:cs="Arial"/>
          <w:sz w:val="20"/>
          <w:szCs w:val="20"/>
        </w:rPr>
        <w:t>hospitals</w:t>
      </w:r>
      <w:r w:rsidRPr="00107400">
        <w:rPr>
          <w:rFonts w:ascii="Arial" w:hAnsi="Arial" w:cs="Arial"/>
          <w:sz w:val="20"/>
          <w:szCs w:val="20"/>
        </w:rPr>
        <w:t xml:space="preserve"> may choose to mandate that HCP receive the vaccine as a strategy to achieve high performance, creating ethical and legal issues. Mandating the vaccine may also result in HCP leaving their positions, putting an additional strain on an already challenged workforce with many vacant positions in not only </w:t>
      </w:r>
      <w:r w:rsidR="00631DB6" w:rsidRPr="00107400">
        <w:rPr>
          <w:rFonts w:ascii="Arial" w:hAnsi="Arial" w:cs="Arial"/>
          <w:sz w:val="20"/>
          <w:szCs w:val="20"/>
        </w:rPr>
        <w:t>hospitals</w:t>
      </w:r>
      <w:r w:rsidRPr="00107400">
        <w:rPr>
          <w:rFonts w:ascii="Arial" w:hAnsi="Arial" w:cs="Arial"/>
          <w:sz w:val="20"/>
          <w:szCs w:val="20"/>
        </w:rPr>
        <w:t xml:space="preserve"> but across all healthcare settings. MHA members have also expressed concern about the legal risk to their organization if HCP experience an adverse event related to the vaccine. We also believe publicly reporting HCP vaccination rates may inappropriately pit </w:t>
      </w:r>
      <w:r w:rsidR="00631DB6" w:rsidRPr="00107400">
        <w:rPr>
          <w:rFonts w:ascii="Arial" w:hAnsi="Arial" w:cs="Arial"/>
          <w:sz w:val="20"/>
          <w:szCs w:val="20"/>
        </w:rPr>
        <w:t>hospitals</w:t>
      </w:r>
      <w:r w:rsidRPr="00107400">
        <w:rPr>
          <w:rFonts w:ascii="Arial" w:hAnsi="Arial" w:cs="Arial"/>
          <w:sz w:val="20"/>
          <w:szCs w:val="20"/>
        </w:rPr>
        <w:t xml:space="preserve"> against one another based on public opinion regarding the vaccine. </w:t>
      </w:r>
    </w:p>
    <w:p w14:paraId="49AF2E4C" w14:textId="77777777" w:rsidR="00107400" w:rsidRDefault="00107400" w:rsidP="00107400">
      <w:pPr>
        <w:pStyle w:val="ListParagraph"/>
        <w:autoSpaceDE w:val="0"/>
        <w:autoSpaceDN w:val="0"/>
        <w:adjustRightInd w:val="0"/>
        <w:rPr>
          <w:rFonts w:ascii="Arial" w:hAnsi="Arial" w:cs="Arial"/>
          <w:b/>
          <w:i/>
          <w:iCs/>
          <w:color w:val="000000"/>
          <w:sz w:val="20"/>
          <w:szCs w:val="20"/>
          <w:u w:val="single"/>
        </w:rPr>
      </w:pPr>
    </w:p>
    <w:p w14:paraId="58C9E1EC" w14:textId="3B79C60A" w:rsidR="005759C2" w:rsidRPr="00107400" w:rsidRDefault="005759C2" w:rsidP="00107400">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Timeliness</w:t>
      </w:r>
    </w:p>
    <w:p w14:paraId="53ECF745" w14:textId="77777777" w:rsidR="005759C2" w:rsidRPr="00107400" w:rsidRDefault="005759C2" w:rsidP="00107400">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Given the time-sensitive nature of this measure, the CMS proposed to use a shortened reporting period (October-December 2021) for the FY 2023 program year, followed by quarterly reporting deadlines starting with the FY 2024 program. The MHA questions whether this information will be of value in 2023 and beyond for quality improvement or consumer-decision making given the time associated with data collection, submission, and validation.   </w:t>
      </w:r>
    </w:p>
    <w:p w14:paraId="03C86FE8" w14:textId="77777777" w:rsidR="00107400" w:rsidRDefault="00107400" w:rsidP="00107400">
      <w:pPr>
        <w:pStyle w:val="ListParagraph"/>
        <w:autoSpaceDE w:val="0"/>
        <w:autoSpaceDN w:val="0"/>
        <w:adjustRightInd w:val="0"/>
        <w:rPr>
          <w:rFonts w:ascii="Arial" w:hAnsi="Arial" w:cs="Arial"/>
          <w:sz w:val="20"/>
          <w:szCs w:val="20"/>
        </w:rPr>
      </w:pPr>
    </w:p>
    <w:p w14:paraId="0604FF5C" w14:textId="11ABB842" w:rsidR="005759C2" w:rsidRPr="00107400" w:rsidRDefault="005759C2" w:rsidP="00107400">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We support and encourage that consumers have access to real-time meaningful data to help inform healthcare decision-making but believe that the use of a single, dated measure is not a true reflection of the safety or quality of care delivered at the </w:t>
      </w:r>
      <w:r w:rsidR="00631DB6" w:rsidRPr="00107400">
        <w:rPr>
          <w:rFonts w:ascii="Arial" w:hAnsi="Arial" w:cs="Arial"/>
          <w:sz w:val="20"/>
          <w:szCs w:val="20"/>
        </w:rPr>
        <w:t>hospital</w:t>
      </w:r>
      <w:r w:rsidRPr="00107400">
        <w:rPr>
          <w:rFonts w:ascii="Arial" w:hAnsi="Arial" w:cs="Arial"/>
          <w:sz w:val="20"/>
          <w:szCs w:val="20"/>
        </w:rPr>
        <w:t xml:space="preserve">. </w:t>
      </w:r>
    </w:p>
    <w:p w14:paraId="0C14049E" w14:textId="77777777" w:rsidR="00107400" w:rsidRDefault="00107400" w:rsidP="00107400">
      <w:pPr>
        <w:pStyle w:val="ListParagraph"/>
        <w:autoSpaceDE w:val="0"/>
        <w:autoSpaceDN w:val="0"/>
        <w:adjustRightInd w:val="0"/>
        <w:rPr>
          <w:rFonts w:ascii="Arial" w:hAnsi="Arial" w:cs="Arial"/>
          <w:b/>
          <w:i/>
          <w:iCs/>
          <w:color w:val="000000"/>
          <w:sz w:val="20"/>
          <w:szCs w:val="20"/>
          <w:u w:val="single"/>
        </w:rPr>
      </w:pPr>
    </w:p>
    <w:p w14:paraId="0DAD68FF" w14:textId="608FEA15" w:rsidR="005759C2" w:rsidRPr="00107400" w:rsidRDefault="005759C2" w:rsidP="00107400">
      <w:pPr>
        <w:pStyle w:val="ListParagraph"/>
        <w:numPr>
          <w:ilvl w:val="0"/>
          <w:numId w:val="24"/>
        </w:numPr>
        <w:autoSpaceDE w:val="0"/>
        <w:autoSpaceDN w:val="0"/>
        <w:adjustRightInd w:val="0"/>
        <w:rPr>
          <w:rFonts w:ascii="Arial" w:hAnsi="Arial" w:cs="Arial"/>
          <w:b/>
          <w:i/>
          <w:iCs/>
          <w:color w:val="000000"/>
          <w:sz w:val="20"/>
          <w:szCs w:val="20"/>
          <w:u w:val="single"/>
        </w:rPr>
      </w:pPr>
      <w:r w:rsidRPr="00107400">
        <w:rPr>
          <w:rFonts w:ascii="Arial" w:hAnsi="Arial" w:cs="Arial"/>
          <w:b/>
          <w:i/>
          <w:iCs/>
          <w:color w:val="000000"/>
          <w:sz w:val="20"/>
          <w:szCs w:val="20"/>
          <w:u w:val="single"/>
        </w:rPr>
        <w:t xml:space="preserve">Duplicative reporting is administratively </w:t>
      </w:r>
      <w:proofErr w:type="gramStart"/>
      <w:r w:rsidRPr="00107400">
        <w:rPr>
          <w:rFonts w:ascii="Arial" w:hAnsi="Arial" w:cs="Arial"/>
          <w:b/>
          <w:i/>
          <w:iCs/>
          <w:color w:val="000000"/>
          <w:sz w:val="20"/>
          <w:szCs w:val="20"/>
          <w:u w:val="single"/>
        </w:rPr>
        <w:t>burdensome</w:t>
      </w:r>
      <w:proofErr w:type="gramEnd"/>
    </w:p>
    <w:p w14:paraId="50A1BDBA" w14:textId="4D6F3199" w:rsidR="005759C2" w:rsidRPr="00107400" w:rsidRDefault="005759C2" w:rsidP="00107400">
      <w:pPr>
        <w:pStyle w:val="ListParagraph"/>
        <w:autoSpaceDE w:val="0"/>
        <w:autoSpaceDN w:val="0"/>
        <w:adjustRightInd w:val="0"/>
        <w:rPr>
          <w:rFonts w:ascii="Arial" w:hAnsi="Arial" w:cs="Arial"/>
          <w:sz w:val="20"/>
          <w:szCs w:val="20"/>
        </w:rPr>
      </w:pPr>
      <w:r w:rsidRPr="00107400">
        <w:rPr>
          <w:rFonts w:ascii="Arial" w:hAnsi="Arial" w:cs="Arial"/>
          <w:sz w:val="20"/>
          <w:szCs w:val="20"/>
        </w:rPr>
        <w:t xml:space="preserve">The MHA recognizes that COVID-19 vaccination reporting is already required by the Michigan Department of Health and Human Services via the Michigan Care Improvement Registry (MCIR) system. We believe that requiring additional HCP vaccination data to be reported into the NHSN </w:t>
      </w:r>
      <w:r w:rsidRPr="00107400">
        <w:rPr>
          <w:rFonts w:ascii="Arial" w:hAnsi="Arial" w:cs="Arial"/>
          <w:sz w:val="20"/>
          <w:szCs w:val="20"/>
        </w:rPr>
        <w:lastRenderedPageBreak/>
        <w:t xml:space="preserve">is redundant and burdensome particularly as </w:t>
      </w:r>
      <w:r w:rsidR="00631DB6" w:rsidRPr="00107400">
        <w:rPr>
          <w:rFonts w:ascii="Arial" w:hAnsi="Arial" w:cs="Arial"/>
          <w:sz w:val="20"/>
          <w:szCs w:val="20"/>
        </w:rPr>
        <w:t>hospitals</w:t>
      </w:r>
      <w:r w:rsidRPr="00107400">
        <w:rPr>
          <w:rFonts w:ascii="Arial" w:hAnsi="Arial" w:cs="Arial"/>
          <w:sz w:val="20"/>
          <w:szCs w:val="20"/>
        </w:rPr>
        <w:t xml:space="preserve"> struggle to meet current COVID-19 data reporting requirements at the state and national level. </w:t>
      </w:r>
    </w:p>
    <w:p w14:paraId="67F86029" w14:textId="77777777" w:rsidR="005759C2" w:rsidRPr="005759C2" w:rsidRDefault="005759C2" w:rsidP="005759C2">
      <w:pPr>
        <w:autoSpaceDE w:val="0"/>
        <w:autoSpaceDN w:val="0"/>
        <w:adjustRightInd w:val="0"/>
        <w:rPr>
          <w:rFonts w:ascii="Arial" w:hAnsi="Arial" w:cs="Arial"/>
          <w:sz w:val="20"/>
          <w:szCs w:val="20"/>
        </w:rPr>
      </w:pPr>
    </w:p>
    <w:p w14:paraId="3E8DEBB2" w14:textId="2C40EF72" w:rsidR="005759C2" w:rsidRPr="005759C2" w:rsidRDefault="005759C2" w:rsidP="005759C2">
      <w:pPr>
        <w:rPr>
          <w:rFonts w:ascii="Arial" w:hAnsi="Arial" w:cs="Arial"/>
          <w:b/>
          <w:sz w:val="20"/>
          <w:szCs w:val="20"/>
        </w:rPr>
      </w:pPr>
      <w:r w:rsidRPr="005759C2">
        <w:rPr>
          <w:rFonts w:ascii="Arial" w:hAnsi="Arial" w:cs="Arial"/>
          <w:b/>
          <w:sz w:val="20"/>
          <w:szCs w:val="20"/>
        </w:rPr>
        <w:t xml:space="preserve">While the MHA opposes the adoption of the COVID-19 HCP vaccination measure in any of the quality reporting programs </w:t>
      </w:r>
      <w:r w:rsidR="00D43C49">
        <w:rPr>
          <w:rFonts w:ascii="Arial" w:hAnsi="Arial" w:cs="Arial"/>
          <w:b/>
          <w:sz w:val="20"/>
          <w:szCs w:val="20"/>
        </w:rPr>
        <w:t>at the current time</w:t>
      </w:r>
      <w:r w:rsidRPr="005759C2">
        <w:rPr>
          <w:rFonts w:ascii="Arial" w:hAnsi="Arial" w:cs="Arial"/>
          <w:b/>
          <w:sz w:val="20"/>
          <w:szCs w:val="20"/>
        </w:rPr>
        <w:t>, we understand the intent of the measure and urge the CMS to consider the following:</w:t>
      </w:r>
    </w:p>
    <w:p w14:paraId="6597ED98" w14:textId="77777777" w:rsidR="005759C2" w:rsidRPr="005759C2" w:rsidRDefault="005759C2" w:rsidP="005759C2">
      <w:pPr>
        <w:rPr>
          <w:rFonts w:ascii="Arial" w:hAnsi="Arial" w:cs="Arial"/>
          <w:b/>
          <w:sz w:val="20"/>
          <w:szCs w:val="20"/>
        </w:rPr>
      </w:pPr>
    </w:p>
    <w:p w14:paraId="1082C992" w14:textId="7721E262" w:rsidR="005759C2" w:rsidRPr="005759C2" w:rsidRDefault="005759C2" w:rsidP="005759C2">
      <w:pPr>
        <w:numPr>
          <w:ilvl w:val="0"/>
          <w:numId w:val="16"/>
        </w:numPr>
        <w:spacing w:line="252" w:lineRule="auto"/>
        <w:rPr>
          <w:rFonts w:ascii="Arial" w:hAnsi="Arial" w:cs="Arial"/>
          <w:b/>
          <w:sz w:val="20"/>
          <w:szCs w:val="20"/>
        </w:rPr>
      </w:pPr>
      <w:r w:rsidRPr="005759C2">
        <w:rPr>
          <w:rFonts w:ascii="Arial" w:hAnsi="Arial" w:cs="Arial"/>
          <w:b/>
          <w:sz w:val="20"/>
          <w:szCs w:val="20"/>
        </w:rPr>
        <w:t>Delay the measure adoption until the vaccine has been given full approval by the FDA and the measure specifications are complete and have been endorsed by the N</w:t>
      </w:r>
      <w:r w:rsidR="00D43C49">
        <w:rPr>
          <w:rFonts w:ascii="Arial" w:hAnsi="Arial" w:cs="Arial"/>
          <w:b/>
          <w:sz w:val="20"/>
          <w:szCs w:val="20"/>
        </w:rPr>
        <w:t>ational Quality Forum (N</w:t>
      </w:r>
      <w:r w:rsidRPr="005759C2">
        <w:rPr>
          <w:rFonts w:ascii="Arial" w:hAnsi="Arial" w:cs="Arial"/>
          <w:b/>
          <w:sz w:val="20"/>
          <w:szCs w:val="20"/>
        </w:rPr>
        <w:t>QF</w:t>
      </w:r>
      <w:r w:rsidR="00D43C49">
        <w:rPr>
          <w:rFonts w:ascii="Arial" w:hAnsi="Arial" w:cs="Arial"/>
          <w:b/>
          <w:sz w:val="20"/>
          <w:szCs w:val="20"/>
        </w:rPr>
        <w:t>)</w:t>
      </w:r>
      <w:r w:rsidRPr="005759C2">
        <w:rPr>
          <w:rFonts w:ascii="Arial" w:hAnsi="Arial" w:cs="Arial"/>
          <w:b/>
          <w:sz w:val="20"/>
          <w:szCs w:val="20"/>
        </w:rPr>
        <w:t>.</w:t>
      </w:r>
      <w:r w:rsidR="008F5CDB">
        <w:rPr>
          <w:rFonts w:ascii="Arial" w:hAnsi="Arial" w:cs="Arial"/>
          <w:b/>
          <w:sz w:val="20"/>
          <w:szCs w:val="20"/>
        </w:rPr>
        <w:t xml:space="preserve"> We </w:t>
      </w:r>
      <w:r w:rsidR="0012093D">
        <w:rPr>
          <w:rFonts w:ascii="Arial" w:hAnsi="Arial" w:cs="Arial"/>
          <w:b/>
          <w:sz w:val="20"/>
          <w:szCs w:val="20"/>
        </w:rPr>
        <w:t xml:space="preserve">also </w:t>
      </w:r>
      <w:r w:rsidR="008F5CDB">
        <w:rPr>
          <w:rFonts w:ascii="Arial" w:hAnsi="Arial" w:cs="Arial"/>
          <w:b/>
          <w:sz w:val="20"/>
          <w:szCs w:val="20"/>
        </w:rPr>
        <w:t xml:space="preserve">encourage the CMS to seek comment on the addition of this measure in a future proposal. </w:t>
      </w:r>
    </w:p>
    <w:p w14:paraId="047BA85B" w14:textId="77777777" w:rsidR="005759C2" w:rsidRPr="005759C2" w:rsidRDefault="005759C2" w:rsidP="005759C2">
      <w:pPr>
        <w:numPr>
          <w:ilvl w:val="0"/>
          <w:numId w:val="16"/>
        </w:numPr>
        <w:spacing w:line="252" w:lineRule="auto"/>
        <w:rPr>
          <w:rFonts w:ascii="Arial" w:hAnsi="Arial" w:cs="Arial"/>
          <w:b/>
          <w:sz w:val="20"/>
          <w:szCs w:val="20"/>
        </w:rPr>
      </w:pPr>
      <w:r w:rsidRPr="005759C2">
        <w:rPr>
          <w:rFonts w:ascii="Arial" w:hAnsi="Arial" w:cs="Arial"/>
          <w:b/>
          <w:sz w:val="20"/>
          <w:szCs w:val="20"/>
        </w:rPr>
        <w:t xml:space="preserve">Utilize HHS </w:t>
      </w:r>
      <w:proofErr w:type="spellStart"/>
      <w:r w:rsidRPr="005759C2">
        <w:rPr>
          <w:rFonts w:ascii="Arial" w:hAnsi="Arial" w:cs="Arial"/>
          <w:b/>
          <w:sz w:val="20"/>
          <w:szCs w:val="20"/>
        </w:rPr>
        <w:t>TeleTracking</w:t>
      </w:r>
      <w:proofErr w:type="spellEnd"/>
      <w:r w:rsidRPr="005759C2">
        <w:rPr>
          <w:rFonts w:ascii="Arial" w:hAnsi="Arial" w:cs="Arial"/>
          <w:b/>
          <w:sz w:val="20"/>
          <w:szCs w:val="20"/>
        </w:rPr>
        <w:t xml:space="preserve"> COVID-19 vaccination data to track vaccination rates at the facility level. </w:t>
      </w:r>
    </w:p>
    <w:p w14:paraId="16F65505" w14:textId="77777777" w:rsidR="005759C2" w:rsidRPr="005759C2" w:rsidRDefault="005759C2" w:rsidP="005759C2">
      <w:pPr>
        <w:numPr>
          <w:ilvl w:val="0"/>
          <w:numId w:val="16"/>
        </w:numPr>
        <w:spacing w:line="252" w:lineRule="auto"/>
        <w:rPr>
          <w:rFonts w:ascii="Arial" w:hAnsi="Arial" w:cs="Arial"/>
          <w:b/>
          <w:sz w:val="20"/>
          <w:szCs w:val="20"/>
        </w:rPr>
      </w:pPr>
      <w:r w:rsidRPr="005759C2">
        <w:rPr>
          <w:rFonts w:ascii="Arial" w:hAnsi="Arial" w:cs="Arial"/>
          <w:b/>
          <w:sz w:val="20"/>
          <w:szCs w:val="20"/>
        </w:rPr>
        <w:t xml:space="preserve">Direct consumers to use the HHS </w:t>
      </w:r>
      <w:proofErr w:type="spellStart"/>
      <w:r w:rsidRPr="005759C2">
        <w:rPr>
          <w:rFonts w:ascii="Arial" w:hAnsi="Arial" w:cs="Arial"/>
          <w:b/>
          <w:sz w:val="20"/>
          <w:szCs w:val="20"/>
        </w:rPr>
        <w:t>TeleTracking</w:t>
      </w:r>
      <w:proofErr w:type="spellEnd"/>
      <w:r w:rsidRPr="005759C2">
        <w:rPr>
          <w:rFonts w:ascii="Arial" w:hAnsi="Arial" w:cs="Arial"/>
          <w:b/>
          <w:sz w:val="20"/>
          <w:szCs w:val="20"/>
        </w:rPr>
        <w:t xml:space="preserve"> site as the data is reflective of current HCP vaccination rates.</w:t>
      </w:r>
    </w:p>
    <w:p w14:paraId="03286FDF" w14:textId="77777777" w:rsidR="005759C2" w:rsidRPr="005759C2" w:rsidRDefault="005759C2" w:rsidP="005759C2">
      <w:pPr>
        <w:autoSpaceDE w:val="0"/>
        <w:autoSpaceDN w:val="0"/>
        <w:rPr>
          <w:rFonts w:ascii="Arial" w:hAnsi="Arial" w:cs="Arial"/>
          <w:b/>
          <w:smallCaps/>
          <w:sz w:val="20"/>
          <w:szCs w:val="20"/>
        </w:rPr>
      </w:pPr>
    </w:p>
    <w:p w14:paraId="41586354" w14:textId="62A7512C" w:rsidR="005759C2" w:rsidRPr="00E718AB" w:rsidRDefault="005759C2" w:rsidP="00812D39">
      <w:pPr>
        <w:autoSpaceDE w:val="0"/>
        <w:autoSpaceDN w:val="0"/>
        <w:adjustRightInd w:val="0"/>
        <w:rPr>
          <w:rFonts w:ascii="Arial" w:hAnsi="Arial" w:cs="Arial"/>
          <w:b/>
          <w:color w:val="000000"/>
          <w:sz w:val="20"/>
          <w:szCs w:val="20"/>
          <w:highlight w:val="lightGray"/>
          <w:u w:val="single"/>
        </w:rPr>
      </w:pPr>
      <w:bookmarkStart w:id="3" w:name="_Hlk75441957"/>
      <w:r w:rsidRPr="00E718AB">
        <w:rPr>
          <w:rFonts w:ascii="Arial" w:hAnsi="Arial" w:cs="Arial"/>
          <w:b/>
          <w:color w:val="000000"/>
          <w:sz w:val="20"/>
          <w:szCs w:val="20"/>
          <w:highlight w:val="lightGray"/>
          <w:u w:val="single"/>
        </w:rPr>
        <w:t>R</w:t>
      </w:r>
      <w:r w:rsidR="00244AA6">
        <w:rPr>
          <w:rFonts w:ascii="Arial" w:hAnsi="Arial" w:cs="Arial"/>
          <w:b/>
          <w:color w:val="000000"/>
          <w:sz w:val="20"/>
          <w:szCs w:val="20"/>
          <w:highlight w:val="lightGray"/>
          <w:u w:val="single"/>
        </w:rPr>
        <w:t>EQUEST FOR INFORMATION</w:t>
      </w:r>
      <w:r w:rsidRPr="00E718AB">
        <w:rPr>
          <w:rFonts w:ascii="Arial" w:hAnsi="Arial" w:cs="Arial"/>
          <w:b/>
          <w:color w:val="000000"/>
          <w:sz w:val="20"/>
          <w:szCs w:val="20"/>
          <w:highlight w:val="lightGray"/>
          <w:u w:val="single"/>
        </w:rPr>
        <w:t>: C</w:t>
      </w:r>
      <w:r w:rsidR="00216A78" w:rsidRPr="00E718AB">
        <w:rPr>
          <w:rFonts w:ascii="Arial" w:hAnsi="Arial" w:cs="Arial"/>
          <w:b/>
          <w:color w:val="000000"/>
          <w:sz w:val="20"/>
          <w:szCs w:val="20"/>
          <w:highlight w:val="lightGray"/>
          <w:u w:val="single"/>
        </w:rPr>
        <w:t>LOSING THE HEALTH EQUITY GAP</w:t>
      </w:r>
    </w:p>
    <w:p w14:paraId="4FA2D5F2" w14:textId="77777777" w:rsidR="00E718AB" w:rsidRDefault="00E718AB" w:rsidP="005759C2">
      <w:pPr>
        <w:autoSpaceDE w:val="0"/>
        <w:autoSpaceDN w:val="0"/>
        <w:rPr>
          <w:rFonts w:ascii="Arial" w:hAnsi="Arial" w:cs="Arial"/>
          <w:sz w:val="20"/>
          <w:szCs w:val="20"/>
        </w:rPr>
      </w:pPr>
    </w:p>
    <w:p w14:paraId="516D9173" w14:textId="3811628D" w:rsidR="00A7345F" w:rsidRDefault="002232E6" w:rsidP="005759C2">
      <w:pPr>
        <w:autoSpaceDE w:val="0"/>
        <w:autoSpaceDN w:val="0"/>
        <w:rPr>
          <w:rFonts w:ascii="Arial" w:hAnsi="Arial" w:cs="Arial"/>
          <w:sz w:val="20"/>
          <w:szCs w:val="20"/>
        </w:rPr>
      </w:pPr>
      <w:r>
        <w:rPr>
          <w:rFonts w:ascii="Arial" w:hAnsi="Arial" w:cs="Arial"/>
          <w:sz w:val="20"/>
          <w:szCs w:val="20"/>
        </w:rPr>
        <w:t xml:space="preserve">The COVID-19 pandemic shed new light on inequities in healthcare as certain populations were impacted much more significantly by the virus. </w:t>
      </w:r>
      <w:r w:rsidR="00867B1C" w:rsidRPr="00F72506">
        <w:rPr>
          <w:rFonts w:ascii="Arial" w:hAnsi="Arial" w:cs="Arial"/>
          <w:b/>
          <w:bCs/>
          <w:sz w:val="20"/>
          <w:szCs w:val="20"/>
        </w:rPr>
        <w:t>The MHA strongly supports efforts by the CMS to close this gap.</w:t>
      </w:r>
      <w:r w:rsidR="00867B1C">
        <w:rPr>
          <w:rFonts w:ascii="Arial" w:hAnsi="Arial" w:cs="Arial"/>
          <w:sz w:val="20"/>
          <w:szCs w:val="20"/>
        </w:rPr>
        <w:t xml:space="preserve"> </w:t>
      </w:r>
      <w:r w:rsidR="00A7345F">
        <w:rPr>
          <w:rFonts w:ascii="Arial" w:hAnsi="Arial" w:cs="Arial"/>
          <w:sz w:val="20"/>
          <w:szCs w:val="20"/>
        </w:rPr>
        <w:t>The MHA</w:t>
      </w:r>
      <w:r w:rsidR="00664CB9">
        <w:rPr>
          <w:rFonts w:ascii="Arial" w:hAnsi="Arial" w:cs="Arial"/>
          <w:sz w:val="20"/>
          <w:szCs w:val="20"/>
        </w:rPr>
        <w:t xml:space="preserve"> and member hospitals are</w:t>
      </w:r>
      <w:r w:rsidR="00897A5C">
        <w:rPr>
          <w:rFonts w:ascii="Arial" w:hAnsi="Arial" w:cs="Arial"/>
          <w:sz w:val="20"/>
          <w:szCs w:val="20"/>
        </w:rPr>
        <w:t xml:space="preserve"> committed to </w:t>
      </w:r>
      <w:r>
        <w:rPr>
          <w:rFonts w:ascii="Arial" w:hAnsi="Arial" w:cs="Arial"/>
          <w:sz w:val="20"/>
          <w:szCs w:val="20"/>
        </w:rPr>
        <w:t>addressing racism and health inequities and worked with the Michigan Department of Licensing and Regulatory Affairs (LARA) to ensure that any new licensing rules related to implicit bias training are consistent with the MHA membership’s vision and efforts. As part of these efforts, the MHA worked with LARA on implicit bias training for all healthcare personnel, providing workgroup input and public comment and testimony on the draft rules. The MHA continues to seek member support and engagement on a statewide pledge to advance health equity and address social determinants of health</w:t>
      </w:r>
      <w:r w:rsidR="00664CB9">
        <w:rPr>
          <w:rFonts w:ascii="Arial" w:hAnsi="Arial" w:cs="Arial"/>
          <w:sz w:val="20"/>
          <w:szCs w:val="20"/>
        </w:rPr>
        <w:t xml:space="preserve">. To date, </w:t>
      </w:r>
      <w:r>
        <w:rPr>
          <w:rFonts w:ascii="Arial" w:hAnsi="Arial" w:cs="Arial"/>
          <w:sz w:val="20"/>
          <w:szCs w:val="20"/>
        </w:rPr>
        <w:t>13</w:t>
      </w:r>
      <w:r w:rsidR="00E16AC9">
        <w:rPr>
          <w:rFonts w:ascii="Arial" w:hAnsi="Arial" w:cs="Arial"/>
          <w:sz w:val="20"/>
          <w:szCs w:val="20"/>
        </w:rPr>
        <w:t>4</w:t>
      </w:r>
      <w:r>
        <w:rPr>
          <w:rFonts w:ascii="Arial" w:hAnsi="Arial" w:cs="Arial"/>
          <w:sz w:val="20"/>
          <w:szCs w:val="20"/>
        </w:rPr>
        <w:t xml:space="preserve"> hospitals and health systems </w:t>
      </w:r>
      <w:r w:rsidR="0021449C">
        <w:rPr>
          <w:rFonts w:ascii="Arial" w:hAnsi="Arial" w:cs="Arial"/>
          <w:sz w:val="20"/>
          <w:szCs w:val="20"/>
        </w:rPr>
        <w:t xml:space="preserve">have </w:t>
      </w:r>
      <w:r>
        <w:rPr>
          <w:rFonts w:ascii="Arial" w:hAnsi="Arial" w:cs="Arial"/>
          <w:sz w:val="20"/>
          <w:szCs w:val="20"/>
        </w:rPr>
        <w:t>sign</w:t>
      </w:r>
      <w:r w:rsidR="00400A8E">
        <w:rPr>
          <w:rFonts w:ascii="Arial" w:hAnsi="Arial" w:cs="Arial"/>
          <w:sz w:val="20"/>
          <w:szCs w:val="20"/>
        </w:rPr>
        <w:t>ed</w:t>
      </w:r>
      <w:r>
        <w:rPr>
          <w:rFonts w:ascii="Arial" w:hAnsi="Arial" w:cs="Arial"/>
          <w:sz w:val="20"/>
          <w:szCs w:val="20"/>
        </w:rPr>
        <w:t xml:space="preserve"> the MHA Pledge to Address Racism and Health Inequities</w:t>
      </w:r>
      <w:r w:rsidR="00664CB9">
        <w:rPr>
          <w:rFonts w:ascii="Arial" w:hAnsi="Arial" w:cs="Arial"/>
          <w:sz w:val="20"/>
          <w:szCs w:val="20"/>
        </w:rPr>
        <w:t xml:space="preserve"> indicating a unified commitment to addressing disparities, dismantling </w:t>
      </w:r>
      <w:proofErr w:type="gramStart"/>
      <w:r w:rsidR="00664CB9">
        <w:rPr>
          <w:rFonts w:ascii="Arial" w:hAnsi="Arial" w:cs="Arial"/>
          <w:sz w:val="20"/>
          <w:szCs w:val="20"/>
        </w:rPr>
        <w:t>racism</w:t>
      </w:r>
      <w:proofErr w:type="gramEnd"/>
      <w:r w:rsidR="00664CB9">
        <w:rPr>
          <w:rFonts w:ascii="Arial" w:hAnsi="Arial" w:cs="Arial"/>
          <w:sz w:val="20"/>
          <w:szCs w:val="20"/>
        </w:rPr>
        <w:t xml:space="preserve"> and achieving health equity. In addition, </w:t>
      </w:r>
      <w:r w:rsidR="00E16AC9">
        <w:rPr>
          <w:rFonts w:ascii="Arial" w:hAnsi="Arial" w:cs="Arial"/>
          <w:sz w:val="20"/>
          <w:szCs w:val="20"/>
        </w:rPr>
        <w:t>over 90%</w:t>
      </w:r>
      <w:r w:rsidR="00664CB9">
        <w:rPr>
          <w:rFonts w:ascii="Arial" w:hAnsi="Arial" w:cs="Arial"/>
          <w:sz w:val="20"/>
          <w:szCs w:val="20"/>
        </w:rPr>
        <w:t xml:space="preserve"> of members have completed the Health Equity Organizational Assessment</w:t>
      </w:r>
      <w:r w:rsidR="00E16AC9">
        <w:rPr>
          <w:rFonts w:ascii="Arial" w:hAnsi="Arial" w:cs="Arial"/>
          <w:sz w:val="20"/>
          <w:szCs w:val="20"/>
        </w:rPr>
        <w:t xml:space="preserve"> (HEOA)</w:t>
      </w:r>
      <w:r w:rsidR="00664CB9">
        <w:rPr>
          <w:rFonts w:ascii="Arial" w:hAnsi="Arial" w:cs="Arial"/>
          <w:sz w:val="20"/>
          <w:szCs w:val="20"/>
        </w:rPr>
        <w:t xml:space="preserve">, designed to provide custom </w:t>
      </w:r>
      <w:r w:rsidR="00E16AC9">
        <w:rPr>
          <w:rFonts w:ascii="Arial" w:hAnsi="Arial" w:cs="Arial"/>
          <w:sz w:val="20"/>
          <w:szCs w:val="20"/>
        </w:rPr>
        <w:t xml:space="preserve">around key strategies that support the </w:t>
      </w:r>
      <w:r w:rsidR="00664CB9">
        <w:rPr>
          <w:rFonts w:ascii="Arial" w:hAnsi="Arial" w:cs="Arial"/>
          <w:sz w:val="20"/>
          <w:szCs w:val="20"/>
        </w:rPr>
        <w:t>organization</w:t>
      </w:r>
      <w:r w:rsidR="00E16AC9">
        <w:rPr>
          <w:rFonts w:ascii="Arial" w:hAnsi="Arial" w:cs="Arial"/>
          <w:sz w:val="20"/>
          <w:szCs w:val="20"/>
        </w:rPr>
        <w:t>’s ability to identify and address disparities</w:t>
      </w:r>
      <w:r w:rsidR="00664CB9">
        <w:rPr>
          <w:rFonts w:ascii="Arial" w:hAnsi="Arial" w:cs="Arial"/>
          <w:sz w:val="20"/>
          <w:szCs w:val="20"/>
        </w:rPr>
        <w:t xml:space="preserve">. </w:t>
      </w:r>
      <w:r w:rsidR="00701925">
        <w:rPr>
          <w:rFonts w:ascii="Arial" w:hAnsi="Arial" w:cs="Arial"/>
          <w:sz w:val="20"/>
          <w:szCs w:val="20"/>
        </w:rPr>
        <w:t xml:space="preserve"> </w:t>
      </w:r>
    </w:p>
    <w:p w14:paraId="1ADB8905" w14:textId="77777777" w:rsidR="00A7345F" w:rsidRDefault="00A7345F" w:rsidP="005759C2">
      <w:pPr>
        <w:autoSpaceDE w:val="0"/>
        <w:autoSpaceDN w:val="0"/>
        <w:rPr>
          <w:rFonts w:ascii="Arial" w:hAnsi="Arial" w:cs="Arial"/>
          <w:sz w:val="20"/>
          <w:szCs w:val="20"/>
        </w:rPr>
      </w:pPr>
    </w:p>
    <w:p w14:paraId="76E75286" w14:textId="6E785ED8" w:rsidR="005759C2" w:rsidRPr="005759C2" w:rsidRDefault="005759C2" w:rsidP="005759C2">
      <w:pPr>
        <w:autoSpaceDE w:val="0"/>
        <w:autoSpaceDN w:val="0"/>
        <w:rPr>
          <w:rFonts w:ascii="Arial" w:hAnsi="Arial" w:cs="Arial"/>
          <w:sz w:val="20"/>
          <w:szCs w:val="20"/>
        </w:rPr>
      </w:pPr>
      <w:r w:rsidRPr="005759C2">
        <w:rPr>
          <w:rFonts w:ascii="Arial" w:hAnsi="Arial" w:cs="Arial"/>
          <w:sz w:val="20"/>
          <w:szCs w:val="20"/>
        </w:rPr>
        <w:t xml:space="preserve">Upon the 2017 launch of the “Patients over Paperwork” Initiative, the CMS’ goal was to reduce unnecessary regulatory burden and enable providers to concentrate on their primary mission of improving patient health outcomes which is supported by the MHA and other stakeholders. </w:t>
      </w:r>
    </w:p>
    <w:p w14:paraId="2355DAB0" w14:textId="77777777" w:rsidR="005759C2" w:rsidRPr="005759C2" w:rsidRDefault="005759C2" w:rsidP="005759C2">
      <w:pPr>
        <w:autoSpaceDE w:val="0"/>
        <w:autoSpaceDN w:val="0"/>
        <w:rPr>
          <w:rFonts w:ascii="Arial" w:hAnsi="Arial" w:cs="Arial"/>
          <w:sz w:val="20"/>
          <w:szCs w:val="20"/>
        </w:rPr>
      </w:pPr>
    </w:p>
    <w:p w14:paraId="2FB35D18" w14:textId="2ECCE374" w:rsidR="005759C2" w:rsidRPr="005759C2" w:rsidRDefault="005759C2" w:rsidP="005759C2">
      <w:pPr>
        <w:autoSpaceDE w:val="0"/>
        <w:autoSpaceDN w:val="0"/>
        <w:rPr>
          <w:rFonts w:ascii="Arial" w:hAnsi="Arial" w:cs="Arial"/>
          <w:b/>
          <w:bCs/>
          <w:sz w:val="20"/>
          <w:szCs w:val="20"/>
        </w:rPr>
      </w:pPr>
      <w:r w:rsidRPr="005759C2">
        <w:rPr>
          <w:rFonts w:ascii="Arial" w:hAnsi="Arial" w:cs="Arial"/>
          <w:sz w:val="20"/>
          <w:szCs w:val="20"/>
        </w:rPr>
        <w:t>The CMS outlines several areas within this RFI</w:t>
      </w:r>
      <w:r w:rsidR="00E72228">
        <w:rPr>
          <w:rFonts w:ascii="Arial" w:hAnsi="Arial" w:cs="Arial"/>
          <w:sz w:val="20"/>
          <w:szCs w:val="20"/>
        </w:rPr>
        <w:t xml:space="preserve"> of potential expansions of the CMS Disparity Methods. The MHA has concerns in expanding even more ways to calculate differences in outcomes among patient groups within and across hospitals as this may ultimately increase burden and negatively impact the patient experience. The idea of including a statistical modeling technique using indirection estimation to make hospital and population-level estimates on patient rate and ethnicity co</w:t>
      </w:r>
      <w:r w:rsidR="00400A8E">
        <w:rPr>
          <w:rFonts w:ascii="Arial" w:hAnsi="Arial" w:cs="Arial"/>
          <w:sz w:val="20"/>
          <w:szCs w:val="20"/>
        </w:rPr>
        <w:t>u</w:t>
      </w:r>
      <w:r w:rsidR="00E72228">
        <w:rPr>
          <w:rFonts w:ascii="Arial" w:hAnsi="Arial" w:cs="Arial"/>
          <w:sz w:val="20"/>
          <w:szCs w:val="20"/>
        </w:rPr>
        <w:t>ld unintentionally introduce measurement bias, especially if the source data used to infer population-level race and ethnicity are inaccurate.</w:t>
      </w:r>
      <w:r w:rsidRPr="005759C2">
        <w:rPr>
          <w:rFonts w:ascii="Arial" w:hAnsi="Arial" w:cs="Arial"/>
          <w:b/>
          <w:bCs/>
          <w:sz w:val="20"/>
          <w:szCs w:val="20"/>
        </w:rPr>
        <w:t xml:space="preserve"> </w:t>
      </w:r>
    </w:p>
    <w:p w14:paraId="0F071C51" w14:textId="77777777" w:rsidR="005759C2" w:rsidRPr="005759C2" w:rsidRDefault="005759C2" w:rsidP="005759C2">
      <w:pPr>
        <w:autoSpaceDE w:val="0"/>
        <w:autoSpaceDN w:val="0"/>
        <w:rPr>
          <w:rFonts w:ascii="Arial" w:hAnsi="Arial" w:cs="Arial"/>
          <w:sz w:val="20"/>
          <w:szCs w:val="20"/>
        </w:rPr>
      </w:pPr>
    </w:p>
    <w:p w14:paraId="1ED6048D" w14:textId="0912BC42" w:rsidR="005759C2" w:rsidRPr="005759C2" w:rsidRDefault="005759C2" w:rsidP="005759C2">
      <w:pPr>
        <w:autoSpaceDE w:val="0"/>
        <w:autoSpaceDN w:val="0"/>
        <w:rPr>
          <w:rFonts w:ascii="Arial" w:hAnsi="Arial" w:cs="Arial"/>
          <w:sz w:val="20"/>
          <w:szCs w:val="20"/>
        </w:rPr>
      </w:pPr>
      <w:r w:rsidRPr="005759C2">
        <w:rPr>
          <w:rFonts w:ascii="Arial" w:hAnsi="Arial" w:cs="Arial"/>
          <w:sz w:val="20"/>
          <w:szCs w:val="20"/>
        </w:rPr>
        <w:t xml:space="preserve">As </w:t>
      </w:r>
      <w:r w:rsidR="00400A8E">
        <w:rPr>
          <w:rFonts w:ascii="Arial" w:hAnsi="Arial" w:cs="Arial"/>
          <w:sz w:val="20"/>
          <w:szCs w:val="20"/>
        </w:rPr>
        <w:t xml:space="preserve">the </w:t>
      </w:r>
      <w:r w:rsidRPr="005759C2">
        <w:rPr>
          <w:rFonts w:ascii="Arial" w:hAnsi="Arial" w:cs="Arial"/>
          <w:sz w:val="20"/>
          <w:szCs w:val="20"/>
        </w:rPr>
        <w:t xml:space="preserve">CMS considers additional measurement to address health equity, </w:t>
      </w:r>
      <w:r w:rsidRPr="005759C2">
        <w:rPr>
          <w:rFonts w:ascii="Arial" w:hAnsi="Arial" w:cs="Arial"/>
          <w:b/>
          <w:bCs/>
          <w:sz w:val="20"/>
          <w:szCs w:val="20"/>
        </w:rPr>
        <w:t>the MHA</w:t>
      </w:r>
      <w:r w:rsidRPr="005759C2">
        <w:rPr>
          <w:rFonts w:ascii="Arial" w:hAnsi="Arial" w:cs="Arial"/>
          <w:b/>
          <w:sz w:val="20"/>
          <w:szCs w:val="20"/>
        </w:rPr>
        <w:t xml:space="preserve"> urges the CMS to honor its “Patients Over Paperwork” initiative and streamline, align, and focus on those measures that matter most for patient care and outcomes</w:t>
      </w:r>
      <w:r w:rsidRPr="005759C2">
        <w:rPr>
          <w:rFonts w:ascii="Arial" w:hAnsi="Arial" w:cs="Arial"/>
          <w:sz w:val="20"/>
          <w:szCs w:val="20"/>
        </w:rPr>
        <w:t xml:space="preserve">. </w:t>
      </w:r>
      <w:r w:rsidRPr="005759C2">
        <w:rPr>
          <w:rFonts w:ascii="Arial" w:hAnsi="Arial" w:cs="Arial"/>
          <w:b/>
          <w:bCs/>
          <w:sz w:val="20"/>
          <w:szCs w:val="20"/>
        </w:rPr>
        <w:t xml:space="preserve">We </w:t>
      </w:r>
      <w:r w:rsidRPr="005759C2">
        <w:rPr>
          <w:rFonts w:ascii="Arial" w:hAnsi="Arial" w:cs="Arial"/>
          <w:b/>
          <w:sz w:val="20"/>
          <w:szCs w:val="20"/>
        </w:rPr>
        <w:t xml:space="preserve">recommend leveraging existing solutions and datasets, while standardizing and streamlining data collection processes and ensuring consistency of definitions, </w:t>
      </w:r>
      <w:proofErr w:type="gramStart"/>
      <w:r w:rsidRPr="005759C2">
        <w:rPr>
          <w:rFonts w:ascii="Arial" w:hAnsi="Arial" w:cs="Arial"/>
          <w:b/>
          <w:sz w:val="20"/>
          <w:szCs w:val="20"/>
        </w:rPr>
        <w:t>categories</w:t>
      </w:r>
      <w:proofErr w:type="gramEnd"/>
      <w:r w:rsidRPr="005759C2">
        <w:rPr>
          <w:rFonts w:ascii="Arial" w:hAnsi="Arial" w:cs="Arial"/>
          <w:b/>
          <w:sz w:val="20"/>
          <w:szCs w:val="20"/>
        </w:rPr>
        <w:t xml:space="preserve"> and variables such as race and ethnicity across all federal programs to reduce administrative burden and enable clinicians to focus on patient care.</w:t>
      </w:r>
      <w:r w:rsidRPr="005759C2">
        <w:rPr>
          <w:rFonts w:ascii="Arial" w:hAnsi="Arial" w:cs="Arial"/>
          <w:sz w:val="20"/>
          <w:szCs w:val="20"/>
        </w:rPr>
        <w:t xml:space="preserve"> </w:t>
      </w:r>
    </w:p>
    <w:p w14:paraId="137966BF" w14:textId="77777777" w:rsidR="005759C2" w:rsidRPr="005759C2" w:rsidRDefault="005759C2" w:rsidP="005759C2">
      <w:pPr>
        <w:autoSpaceDE w:val="0"/>
        <w:autoSpaceDN w:val="0"/>
        <w:rPr>
          <w:rFonts w:ascii="Arial" w:hAnsi="Arial" w:cs="Arial"/>
          <w:sz w:val="20"/>
          <w:szCs w:val="20"/>
        </w:rPr>
      </w:pPr>
    </w:p>
    <w:p w14:paraId="79C5AF13" w14:textId="32E03282" w:rsidR="00E72228" w:rsidRPr="00E72228" w:rsidRDefault="00E72228" w:rsidP="00E72228">
      <w:pPr>
        <w:autoSpaceDE w:val="0"/>
        <w:autoSpaceDN w:val="0"/>
        <w:rPr>
          <w:rFonts w:ascii="Arial" w:hAnsi="Arial" w:cs="Arial"/>
          <w:sz w:val="20"/>
          <w:szCs w:val="20"/>
        </w:rPr>
      </w:pPr>
      <w:r>
        <w:rPr>
          <w:rFonts w:ascii="Arial" w:hAnsi="Arial" w:cs="Arial"/>
          <w:sz w:val="20"/>
          <w:szCs w:val="20"/>
        </w:rPr>
        <w:t xml:space="preserve">The </w:t>
      </w:r>
      <w:r w:rsidRPr="00E72228">
        <w:rPr>
          <w:rFonts w:ascii="Arial" w:hAnsi="Arial" w:cs="Arial"/>
          <w:sz w:val="20"/>
          <w:szCs w:val="20"/>
        </w:rPr>
        <w:t xml:space="preserve">CMS must also develop support for providers for capturing, </w:t>
      </w:r>
      <w:proofErr w:type="gramStart"/>
      <w:r w:rsidRPr="00E72228">
        <w:rPr>
          <w:rFonts w:ascii="Arial" w:hAnsi="Arial" w:cs="Arial"/>
          <w:sz w:val="20"/>
          <w:szCs w:val="20"/>
        </w:rPr>
        <w:t>using</w:t>
      </w:r>
      <w:proofErr w:type="gramEnd"/>
      <w:r w:rsidRPr="00E72228">
        <w:rPr>
          <w:rFonts w:ascii="Arial" w:hAnsi="Arial" w:cs="Arial"/>
          <w:sz w:val="20"/>
          <w:szCs w:val="20"/>
        </w:rPr>
        <w:t xml:space="preserve"> and exchanging information within and across service lines. The current system is siloed, fragmented and uncoordinated, which limits </w:t>
      </w:r>
      <w:r w:rsidRPr="00E72228">
        <w:rPr>
          <w:rFonts w:ascii="Arial" w:hAnsi="Arial" w:cs="Arial"/>
          <w:sz w:val="20"/>
          <w:szCs w:val="20"/>
        </w:rPr>
        <w:lastRenderedPageBreak/>
        <w:t xml:space="preserve">transparency and the ability to share and use information as patients move across the healthcare continuum. </w:t>
      </w:r>
    </w:p>
    <w:p w14:paraId="2FDA57BA" w14:textId="77777777" w:rsidR="00E72228" w:rsidRPr="00E72228" w:rsidRDefault="00E72228" w:rsidP="00E72228">
      <w:pPr>
        <w:autoSpaceDE w:val="0"/>
        <w:autoSpaceDN w:val="0"/>
        <w:rPr>
          <w:rFonts w:ascii="Arial" w:hAnsi="Arial" w:cs="Arial"/>
          <w:sz w:val="20"/>
          <w:szCs w:val="20"/>
        </w:rPr>
      </w:pPr>
    </w:p>
    <w:p w14:paraId="66643CBB" w14:textId="307A2519" w:rsidR="00E72228" w:rsidRDefault="00E72228" w:rsidP="00E72228">
      <w:pPr>
        <w:autoSpaceDE w:val="0"/>
        <w:autoSpaceDN w:val="0"/>
        <w:rPr>
          <w:rFonts w:ascii="Arial" w:hAnsi="Arial" w:cs="Arial"/>
          <w:sz w:val="20"/>
          <w:szCs w:val="20"/>
        </w:rPr>
      </w:pPr>
      <w:r w:rsidRPr="00E72228">
        <w:rPr>
          <w:rFonts w:ascii="Arial" w:hAnsi="Arial" w:cs="Arial"/>
          <w:sz w:val="20"/>
          <w:szCs w:val="20"/>
        </w:rPr>
        <w:t xml:space="preserve">A final challenge worth noting is that there are inadequate healthcare-based solutions for addressing social determinants of health. Platforms are available for purchase but some of these systems are too costly for hospitals and remain out of reach. </w:t>
      </w:r>
    </w:p>
    <w:p w14:paraId="58EDF264" w14:textId="77777777" w:rsidR="00E72228" w:rsidRPr="00E72228" w:rsidRDefault="00E72228" w:rsidP="00E72228">
      <w:pPr>
        <w:autoSpaceDE w:val="0"/>
        <w:autoSpaceDN w:val="0"/>
        <w:rPr>
          <w:rFonts w:ascii="Arial" w:hAnsi="Arial" w:cs="Arial"/>
          <w:sz w:val="20"/>
          <w:szCs w:val="20"/>
        </w:rPr>
      </w:pPr>
    </w:p>
    <w:p w14:paraId="336778D7" w14:textId="759B08DB" w:rsidR="005759C2" w:rsidRPr="005759C2" w:rsidRDefault="005759C2" w:rsidP="005759C2">
      <w:pPr>
        <w:autoSpaceDE w:val="0"/>
        <w:autoSpaceDN w:val="0"/>
        <w:rPr>
          <w:rFonts w:ascii="Arial" w:hAnsi="Arial" w:cs="Arial"/>
          <w:b/>
          <w:bCs/>
          <w:sz w:val="20"/>
          <w:szCs w:val="20"/>
        </w:rPr>
      </w:pPr>
      <w:r w:rsidRPr="005759C2">
        <w:rPr>
          <w:rFonts w:ascii="Arial" w:hAnsi="Arial" w:cs="Arial"/>
          <w:b/>
          <w:bCs/>
          <w:sz w:val="20"/>
          <w:szCs w:val="20"/>
        </w:rPr>
        <w:t>The MHA urges the CMS to consider the following recommendations</w:t>
      </w:r>
      <w:r w:rsidR="000A584F">
        <w:rPr>
          <w:rFonts w:ascii="Arial" w:hAnsi="Arial" w:cs="Arial"/>
          <w:b/>
          <w:bCs/>
          <w:sz w:val="20"/>
          <w:szCs w:val="20"/>
        </w:rPr>
        <w:t xml:space="preserve"> and looks forward to providing additional input when a future proposed rule is released</w:t>
      </w:r>
      <w:r w:rsidRPr="005759C2">
        <w:rPr>
          <w:rFonts w:ascii="Arial" w:hAnsi="Arial" w:cs="Arial"/>
          <w:b/>
          <w:bCs/>
          <w:sz w:val="20"/>
          <w:szCs w:val="20"/>
        </w:rPr>
        <w:t>:</w:t>
      </w:r>
    </w:p>
    <w:p w14:paraId="2393A693" w14:textId="77777777" w:rsidR="005759C2" w:rsidRPr="005759C2" w:rsidRDefault="005759C2" w:rsidP="005759C2">
      <w:pPr>
        <w:autoSpaceDE w:val="0"/>
        <w:autoSpaceDN w:val="0"/>
        <w:rPr>
          <w:rFonts w:ascii="Arial" w:hAnsi="Arial" w:cs="Arial"/>
          <w:sz w:val="20"/>
          <w:szCs w:val="20"/>
        </w:rPr>
      </w:pPr>
    </w:p>
    <w:p w14:paraId="726A2067" w14:textId="77777777" w:rsidR="005759C2" w:rsidRPr="005759C2" w:rsidRDefault="005759C2" w:rsidP="005759C2">
      <w:pPr>
        <w:numPr>
          <w:ilvl w:val="0"/>
          <w:numId w:val="17"/>
        </w:numPr>
        <w:contextualSpacing/>
        <w:rPr>
          <w:rFonts w:ascii="Arial" w:eastAsia="SimSun" w:hAnsi="Arial" w:cs="Arial"/>
          <w:sz w:val="20"/>
          <w:szCs w:val="20"/>
        </w:rPr>
      </w:pPr>
      <w:r w:rsidRPr="005759C2">
        <w:rPr>
          <w:rFonts w:ascii="Arial" w:eastAsia="SimSun" w:hAnsi="Arial" w:cs="Arial"/>
          <w:b/>
          <w:sz w:val="20"/>
          <w:szCs w:val="20"/>
        </w:rPr>
        <w:t xml:space="preserve">Choose, adopt, and adequately incentivize the use of a single standard data set </w:t>
      </w:r>
      <w:r w:rsidRPr="005759C2">
        <w:rPr>
          <w:rFonts w:ascii="Arial" w:eastAsia="SimSun" w:hAnsi="Arial" w:cs="Arial"/>
          <w:sz w:val="20"/>
          <w:szCs w:val="20"/>
        </w:rPr>
        <w:t xml:space="preserve">that captures necessary and sufficient information on non-clinical patient characteristics. </w:t>
      </w:r>
      <w:r w:rsidRPr="005759C2">
        <w:rPr>
          <w:rFonts w:ascii="Arial" w:eastAsia="SimSun" w:hAnsi="Arial" w:cs="Arial"/>
          <w:b/>
          <w:sz w:val="20"/>
          <w:szCs w:val="20"/>
        </w:rPr>
        <w:t>This should be minimally burdensome to providers</w:t>
      </w:r>
      <w:r w:rsidRPr="005759C2">
        <w:rPr>
          <w:rFonts w:ascii="Arial" w:eastAsia="SimSun" w:hAnsi="Arial" w:cs="Arial"/>
          <w:sz w:val="20"/>
          <w:szCs w:val="20"/>
        </w:rPr>
        <w:t xml:space="preserve"> and we recommend the adoption of standardized screening tools such as </w:t>
      </w:r>
      <w:hyperlink r:id="rId7" w:history="1">
        <w:r w:rsidRPr="005759C2">
          <w:rPr>
            <w:rFonts w:ascii="Arial" w:eastAsia="SimSun" w:hAnsi="Arial" w:cs="Arial"/>
            <w:sz w:val="20"/>
            <w:szCs w:val="20"/>
            <w:u w:val="single"/>
          </w:rPr>
          <w:t>PRAPARE</w:t>
        </w:r>
      </w:hyperlink>
      <w:r w:rsidRPr="005759C2">
        <w:rPr>
          <w:rFonts w:ascii="Arial" w:eastAsia="SimSun" w:hAnsi="Arial" w:cs="Arial"/>
          <w:sz w:val="20"/>
          <w:szCs w:val="20"/>
        </w:rPr>
        <w:t xml:space="preserve">, </w:t>
      </w:r>
      <w:hyperlink r:id="rId8" w:history="1">
        <w:r w:rsidRPr="005759C2">
          <w:rPr>
            <w:rFonts w:ascii="Arial" w:eastAsia="SimSun" w:hAnsi="Arial" w:cs="Arial"/>
            <w:sz w:val="20"/>
            <w:szCs w:val="20"/>
            <w:u w:val="single"/>
          </w:rPr>
          <w:t xml:space="preserve">AAFP’s </w:t>
        </w:r>
        <w:proofErr w:type="spellStart"/>
        <w:r w:rsidRPr="005759C2">
          <w:rPr>
            <w:rFonts w:ascii="Arial" w:eastAsia="SimSun" w:hAnsi="Arial" w:cs="Arial"/>
            <w:sz w:val="20"/>
            <w:szCs w:val="20"/>
            <w:u w:val="single"/>
          </w:rPr>
          <w:t>EveryONE</w:t>
        </w:r>
        <w:proofErr w:type="spellEnd"/>
        <w:r w:rsidRPr="005759C2">
          <w:rPr>
            <w:rFonts w:ascii="Arial" w:eastAsia="SimSun" w:hAnsi="Arial" w:cs="Arial"/>
            <w:sz w:val="20"/>
            <w:szCs w:val="20"/>
            <w:u w:val="single"/>
          </w:rPr>
          <w:t xml:space="preserve"> project</w:t>
        </w:r>
      </w:hyperlink>
      <w:r w:rsidRPr="005759C2">
        <w:rPr>
          <w:rFonts w:ascii="Arial" w:eastAsia="SimSun" w:hAnsi="Arial" w:cs="Arial"/>
          <w:sz w:val="20"/>
          <w:szCs w:val="20"/>
        </w:rPr>
        <w:t xml:space="preserve">, or the CMS ACH </w:t>
      </w:r>
      <w:hyperlink r:id="rId9" w:history="1">
        <w:r w:rsidRPr="005759C2">
          <w:rPr>
            <w:rFonts w:ascii="Arial" w:eastAsia="SimSun" w:hAnsi="Arial" w:cs="Arial"/>
            <w:sz w:val="20"/>
            <w:szCs w:val="20"/>
            <w:u w:val="single"/>
          </w:rPr>
          <w:t>Health-Related Social Needs screening tool</w:t>
        </w:r>
      </w:hyperlink>
      <w:r w:rsidRPr="005759C2">
        <w:rPr>
          <w:rFonts w:ascii="Arial" w:eastAsia="SimSun" w:hAnsi="Arial" w:cs="Arial"/>
          <w:sz w:val="20"/>
          <w:szCs w:val="20"/>
          <w:u w:val="single"/>
        </w:rPr>
        <w:t>,</w:t>
      </w:r>
      <w:r w:rsidRPr="005759C2">
        <w:rPr>
          <w:rFonts w:ascii="Arial" w:eastAsia="SimSun" w:hAnsi="Arial" w:cs="Arial"/>
          <w:sz w:val="20"/>
          <w:szCs w:val="20"/>
        </w:rPr>
        <w:t xml:space="preserve"> or </w:t>
      </w:r>
      <w:hyperlink r:id="rId10" w:history="1">
        <w:r w:rsidRPr="005759C2">
          <w:rPr>
            <w:rFonts w:ascii="Arial" w:eastAsia="SimSun" w:hAnsi="Arial" w:cs="Arial"/>
            <w:sz w:val="20"/>
            <w:szCs w:val="20"/>
            <w:u w:val="single"/>
          </w:rPr>
          <w:t>the use of z-codes</w:t>
        </w:r>
      </w:hyperlink>
      <w:r w:rsidRPr="005759C2">
        <w:rPr>
          <w:rFonts w:ascii="Arial" w:eastAsia="SimSun" w:hAnsi="Arial" w:cs="Arial"/>
          <w:sz w:val="20"/>
          <w:szCs w:val="20"/>
          <w:u w:val="single"/>
        </w:rPr>
        <w:t>.</w:t>
      </w:r>
    </w:p>
    <w:p w14:paraId="6C6A08CD" w14:textId="77777777" w:rsidR="005759C2" w:rsidRPr="005759C2" w:rsidRDefault="005759C2" w:rsidP="005759C2">
      <w:pPr>
        <w:ind w:left="720"/>
        <w:contextualSpacing/>
        <w:rPr>
          <w:rFonts w:ascii="Arial" w:eastAsia="SimSun" w:hAnsi="Arial" w:cs="Arial"/>
          <w:sz w:val="20"/>
          <w:szCs w:val="20"/>
        </w:rPr>
      </w:pPr>
    </w:p>
    <w:p w14:paraId="3AE08434" w14:textId="77777777" w:rsidR="005759C2" w:rsidRPr="005759C2" w:rsidRDefault="005759C2" w:rsidP="005759C2">
      <w:pPr>
        <w:numPr>
          <w:ilvl w:val="0"/>
          <w:numId w:val="17"/>
        </w:numPr>
        <w:contextualSpacing/>
        <w:rPr>
          <w:rFonts w:ascii="Arial" w:eastAsia="SimSun" w:hAnsi="Arial" w:cs="Arial"/>
          <w:sz w:val="20"/>
          <w:szCs w:val="20"/>
        </w:rPr>
      </w:pPr>
      <w:r w:rsidRPr="005759C2">
        <w:rPr>
          <w:rFonts w:ascii="Arial" w:eastAsia="SimSun" w:hAnsi="Arial" w:cs="Arial"/>
          <w:b/>
          <w:sz w:val="20"/>
          <w:szCs w:val="20"/>
        </w:rPr>
        <w:t>Distribute resources into community safety net programs to properly address social needs identified in data collection</w:t>
      </w:r>
      <w:r w:rsidRPr="005759C2">
        <w:rPr>
          <w:rFonts w:ascii="Arial" w:eastAsia="SimSun" w:hAnsi="Arial" w:cs="Arial"/>
          <w:sz w:val="20"/>
          <w:szCs w:val="20"/>
        </w:rPr>
        <w:t xml:space="preserve">. We urge the CMS to continue expanding the portfolio of programs and resources to support data analyses and quality improvement activities to bridge hospital-level efforts with post-acute and community-based programs and models to close health equity gaps due to lack of resources and accessibility to help strengthen the standardized collection of social needs data. </w:t>
      </w:r>
    </w:p>
    <w:p w14:paraId="523C8FBD" w14:textId="77777777" w:rsidR="005759C2" w:rsidRPr="005759C2" w:rsidRDefault="005759C2" w:rsidP="005759C2">
      <w:pPr>
        <w:autoSpaceDE w:val="0"/>
        <w:autoSpaceDN w:val="0"/>
        <w:rPr>
          <w:rFonts w:ascii="Arial" w:hAnsi="Arial" w:cs="Arial"/>
          <w:sz w:val="20"/>
          <w:szCs w:val="20"/>
        </w:rPr>
      </w:pPr>
    </w:p>
    <w:p w14:paraId="78631F1F" w14:textId="77777777" w:rsidR="005759C2" w:rsidRPr="005759C2" w:rsidRDefault="005759C2" w:rsidP="005759C2">
      <w:pPr>
        <w:numPr>
          <w:ilvl w:val="0"/>
          <w:numId w:val="17"/>
        </w:numPr>
        <w:rPr>
          <w:rFonts w:ascii="Arial" w:hAnsi="Arial" w:cs="Arial"/>
          <w:sz w:val="20"/>
          <w:szCs w:val="20"/>
        </w:rPr>
      </w:pPr>
      <w:r w:rsidRPr="005759C2">
        <w:rPr>
          <w:rFonts w:ascii="Arial" w:hAnsi="Arial" w:cs="Arial"/>
          <w:b/>
          <w:sz w:val="20"/>
          <w:szCs w:val="20"/>
        </w:rPr>
        <w:t>Expand disparity methods to include stratified results beyond current dual eligibility stratification since stratifying by dual eligibility status alone is not sufficient</w:t>
      </w:r>
      <w:r w:rsidRPr="005759C2">
        <w:rPr>
          <w:rFonts w:ascii="Arial" w:hAnsi="Arial" w:cs="Arial"/>
          <w:sz w:val="20"/>
          <w:szCs w:val="20"/>
        </w:rPr>
        <w:t xml:space="preserve">. This is an easily accessible proxy measure that in no way captures the breadth of social determinants. We urge the CMS to include race and ethnicity, language preference, veteran status, health literacy, sexual orientation, and disability status which will enable a more comprehensive assessment of health equity to further identify and develop actionable strategies to promote health equity. </w:t>
      </w:r>
    </w:p>
    <w:p w14:paraId="0DADE3D2" w14:textId="77777777" w:rsidR="005759C2" w:rsidRPr="005759C2" w:rsidRDefault="005759C2" w:rsidP="005759C2">
      <w:pPr>
        <w:ind w:left="720"/>
        <w:contextualSpacing/>
        <w:rPr>
          <w:rFonts w:ascii="Arial" w:eastAsia="SimSun" w:hAnsi="Arial" w:cs="Arial"/>
          <w:sz w:val="20"/>
          <w:szCs w:val="20"/>
        </w:rPr>
      </w:pPr>
    </w:p>
    <w:p w14:paraId="6309B6FE" w14:textId="77777777" w:rsidR="005759C2" w:rsidRPr="005759C2" w:rsidRDefault="005759C2" w:rsidP="005759C2">
      <w:pPr>
        <w:numPr>
          <w:ilvl w:val="0"/>
          <w:numId w:val="17"/>
        </w:numPr>
        <w:contextualSpacing/>
        <w:rPr>
          <w:rFonts w:ascii="Arial" w:eastAsia="SimSun" w:hAnsi="Arial" w:cs="Arial"/>
          <w:b/>
          <w:sz w:val="20"/>
          <w:szCs w:val="20"/>
        </w:rPr>
      </w:pPr>
      <w:r w:rsidRPr="005759C2">
        <w:rPr>
          <w:rFonts w:ascii="Arial" w:eastAsia="SimSun" w:hAnsi="Arial" w:cs="Arial"/>
          <w:b/>
          <w:sz w:val="20"/>
          <w:szCs w:val="20"/>
        </w:rPr>
        <w:t>Reconsider creation of a facility equity score</w:t>
      </w:r>
      <w:r w:rsidRPr="005759C2">
        <w:rPr>
          <w:rFonts w:ascii="Arial" w:eastAsia="SimSun" w:hAnsi="Arial" w:cs="Arial"/>
          <w:sz w:val="20"/>
          <w:szCs w:val="20"/>
        </w:rPr>
        <w:t xml:space="preserve">: Although this is modeled from the Health Equity Summary Score (HESS) developed for the Medicare Advantage plans, the development of this score was virtually conceptual and not currently being utilized. By combining multiple measures and risk factors using output from the CMS disparity methods there would be a resulting “composite like” score. </w:t>
      </w:r>
      <w:r w:rsidRPr="00400A8E">
        <w:rPr>
          <w:rFonts w:ascii="Arial" w:eastAsia="SimSun" w:hAnsi="Arial" w:cs="Arial"/>
          <w:b/>
          <w:bCs/>
          <w:sz w:val="20"/>
          <w:szCs w:val="20"/>
        </w:rPr>
        <w:t>The MHA</w:t>
      </w:r>
      <w:r w:rsidRPr="005759C2">
        <w:rPr>
          <w:rFonts w:ascii="Arial" w:eastAsia="SimSun" w:hAnsi="Arial" w:cs="Arial"/>
          <w:b/>
          <w:sz w:val="20"/>
          <w:szCs w:val="20"/>
        </w:rPr>
        <w:t xml:space="preserve"> believes a vague “composite-like” measure is not actionable or useful and cannot be feasibly and accurately calculated. </w:t>
      </w:r>
    </w:p>
    <w:p w14:paraId="06BE27F6" w14:textId="77777777" w:rsidR="005759C2" w:rsidRPr="005759C2" w:rsidRDefault="005759C2" w:rsidP="005759C2">
      <w:pPr>
        <w:rPr>
          <w:rFonts w:ascii="Arial" w:hAnsi="Arial" w:cs="Arial"/>
          <w:sz w:val="20"/>
          <w:szCs w:val="20"/>
        </w:rPr>
      </w:pPr>
    </w:p>
    <w:p w14:paraId="480FBB3E" w14:textId="77777777" w:rsidR="005759C2" w:rsidRPr="005759C2" w:rsidRDefault="005759C2" w:rsidP="005759C2">
      <w:pPr>
        <w:numPr>
          <w:ilvl w:val="0"/>
          <w:numId w:val="17"/>
        </w:numPr>
        <w:contextualSpacing/>
        <w:rPr>
          <w:rFonts w:ascii="Arial" w:eastAsia="SimSun" w:hAnsi="Arial" w:cs="Arial"/>
          <w:sz w:val="20"/>
          <w:szCs w:val="20"/>
        </w:rPr>
      </w:pPr>
      <w:r w:rsidRPr="005759C2">
        <w:rPr>
          <w:rFonts w:ascii="Arial" w:eastAsia="SimSun" w:hAnsi="Arial" w:cs="Arial"/>
          <w:sz w:val="20"/>
          <w:szCs w:val="20"/>
        </w:rPr>
        <w:t xml:space="preserve">Consider a potential future measure regarding </w:t>
      </w:r>
      <w:r w:rsidRPr="005759C2">
        <w:rPr>
          <w:rFonts w:ascii="Arial" w:eastAsia="SimSun" w:hAnsi="Arial" w:cs="Arial"/>
          <w:b/>
          <w:sz w:val="20"/>
          <w:szCs w:val="20"/>
        </w:rPr>
        <w:t>organizational commitment to health equity.</w:t>
      </w:r>
      <w:r w:rsidRPr="005759C2">
        <w:rPr>
          <w:rFonts w:ascii="Arial" w:eastAsia="SimSun" w:hAnsi="Arial" w:cs="Arial"/>
          <w:sz w:val="20"/>
          <w:szCs w:val="20"/>
        </w:rPr>
        <w:t xml:space="preserve"> We believe that consideration should be given to an attestation-based structural measure of a disparities impact statement (DIS) or organizational pledge that outlines how infrastructure supports the delivery of care that is equitable for all patient populations.</w:t>
      </w:r>
    </w:p>
    <w:bookmarkEnd w:id="3"/>
    <w:p w14:paraId="4DCB11BE" w14:textId="77777777" w:rsidR="005759C2" w:rsidRDefault="005759C2" w:rsidP="00A41D7D">
      <w:pPr>
        <w:rPr>
          <w:b/>
          <w:u w:val="single"/>
        </w:rPr>
      </w:pPr>
    </w:p>
    <w:p w14:paraId="59582E33" w14:textId="5ACDDF6C" w:rsidR="00061ABD" w:rsidRPr="00244AA6" w:rsidRDefault="00061ABD" w:rsidP="00812D39">
      <w:pPr>
        <w:autoSpaceDE w:val="0"/>
        <w:autoSpaceDN w:val="0"/>
        <w:adjustRightInd w:val="0"/>
        <w:rPr>
          <w:rFonts w:ascii="Arial" w:hAnsi="Arial" w:cs="Arial"/>
          <w:b/>
          <w:color w:val="000000"/>
          <w:sz w:val="20"/>
          <w:szCs w:val="20"/>
          <w:highlight w:val="lightGray"/>
          <w:u w:val="single"/>
        </w:rPr>
      </w:pPr>
      <w:r w:rsidRPr="00244AA6">
        <w:rPr>
          <w:rFonts w:ascii="Arial" w:hAnsi="Arial" w:cs="Arial"/>
          <w:b/>
          <w:color w:val="000000"/>
          <w:sz w:val="20"/>
          <w:szCs w:val="20"/>
          <w:highlight w:val="lightGray"/>
          <w:u w:val="single"/>
        </w:rPr>
        <w:t>R</w:t>
      </w:r>
      <w:r w:rsidR="00244AA6">
        <w:rPr>
          <w:rFonts w:ascii="Arial" w:hAnsi="Arial" w:cs="Arial"/>
          <w:b/>
          <w:color w:val="000000"/>
          <w:sz w:val="20"/>
          <w:szCs w:val="20"/>
          <w:highlight w:val="lightGray"/>
          <w:u w:val="single"/>
        </w:rPr>
        <w:t>EQUEST FOR INFORMATION</w:t>
      </w:r>
      <w:r w:rsidR="00216A78" w:rsidRPr="00244AA6">
        <w:rPr>
          <w:rFonts w:ascii="Arial" w:hAnsi="Arial" w:cs="Arial"/>
          <w:b/>
          <w:color w:val="000000"/>
          <w:sz w:val="20"/>
          <w:szCs w:val="20"/>
          <w:highlight w:val="lightGray"/>
          <w:u w:val="single"/>
        </w:rPr>
        <w:t>:</w:t>
      </w:r>
      <w:r w:rsidRPr="00244AA6">
        <w:rPr>
          <w:rFonts w:ascii="Arial" w:hAnsi="Arial" w:cs="Arial"/>
          <w:b/>
          <w:color w:val="000000"/>
          <w:sz w:val="20"/>
          <w:szCs w:val="20"/>
          <w:highlight w:val="lightGray"/>
          <w:u w:val="single"/>
        </w:rPr>
        <w:t xml:space="preserve"> Fast Healthcare Interoperative Resources</w:t>
      </w:r>
    </w:p>
    <w:p w14:paraId="6FF97266" w14:textId="77777777" w:rsidR="00244AA6" w:rsidRDefault="00244AA6" w:rsidP="00061ABD">
      <w:pPr>
        <w:rPr>
          <w:rFonts w:ascii="Arial" w:eastAsia="Times New Roman" w:hAnsi="Arial" w:cs="Arial"/>
          <w:sz w:val="20"/>
          <w:szCs w:val="20"/>
        </w:rPr>
      </w:pPr>
    </w:p>
    <w:p w14:paraId="12CA5A6C" w14:textId="270117C4" w:rsidR="00061ABD" w:rsidRDefault="00061ABD" w:rsidP="00061ABD">
      <w:pPr>
        <w:rPr>
          <w:rFonts w:ascii="Arial" w:eastAsia="Times New Roman" w:hAnsi="Arial" w:cs="Arial"/>
          <w:sz w:val="20"/>
          <w:szCs w:val="20"/>
        </w:rPr>
      </w:pPr>
      <w:r>
        <w:rPr>
          <w:rFonts w:ascii="Arial" w:eastAsia="Times New Roman" w:hAnsi="Arial" w:cs="Arial"/>
          <w:sz w:val="20"/>
          <w:szCs w:val="20"/>
        </w:rPr>
        <w:t xml:space="preserve">The </w:t>
      </w:r>
      <w:r w:rsidRPr="00061ABD">
        <w:rPr>
          <w:rFonts w:ascii="Arial" w:eastAsia="Times New Roman" w:hAnsi="Arial" w:cs="Arial"/>
          <w:sz w:val="20"/>
          <w:szCs w:val="20"/>
        </w:rPr>
        <w:t xml:space="preserve">CMS acknowledges </w:t>
      </w:r>
      <w:r>
        <w:rPr>
          <w:rFonts w:ascii="Arial" w:eastAsia="Times New Roman" w:hAnsi="Arial" w:cs="Arial"/>
          <w:sz w:val="20"/>
          <w:szCs w:val="20"/>
        </w:rPr>
        <w:t xml:space="preserve">that </w:t>
      </w:r>
      <w:r w:rsidRPr="00061ABD">
        <w:rPr>
          <w:rFonts w:ascii="Arial" w:eastAsia="Times New Roman" w:hAnsi="Arial" w:cs="Arial"/>
          <w:sz w:val="20"/>
          <w:szCs w:val="20"/>
        </w:rPr>
        <w:t xml:space="preserve">providers within the various care and practice settings covered by Medicare quality programs may be at different stages of readiness and therefore the timeline for achieving full digital quality measurement across all quality reporting programs may vary. </w:t>
      </w:r>
      <w:r>
        <w:rPr>
          <w:rFonts w:ascii="Arial" w:eastAsia="Times New Roman" w:hAnsi="Arial" w:cs="Arial"/>
          <w:sz w:val="20"/>
          <w:szCs w:val="20"/>
        </w:rPr>
        <w:t>The CMS also r</w:t>
      </w:r>
      <w:r w:rsidRPr="00061ABD">
        <w:rPr>
          <w:rFonts w:ascii="Arial" w:eastAsia="Times New Roman" w:hAnsi="Arial" w:cs="Arial"/>
          <w:sz w:val="20"/>
          <w:szCs w:val="20"/>
        </w:rPr>
        <w:t>ecognizes that reporting data for quality measurement via electronic health records remains burdensome, and their current approach to quality measurement does not readily incorporate emerging data sources such as patient-reported outcomes (PRO) and patient-generated health data.</w:t>
      </w:r>
      <w:r>
        <w:rPr>
          <w:rFonts w:ascii="Arial" w:eastAsia="Times New Roman" w:hAnsi="Arial" w:cs="Arial"/>
          <w:sz w:val="20"/>
          <w:szCs w:val="20"/>
        </w:rPr>
        <w:t xml:space="preserve"> </w:t>
      </w:r>
      <w:r w:rsidRPr="00061ABD">
        <w:rPr>
          <w:rFonts w:ascii="Arial" w:eastAsia="Times New Roman" w:hAnsi="Arial" w:cs="Arial"/>
          <w:sz w:val="20"/>
          <w:szCs w:val="20"/>
        </w:rPr>
        <w:t>The</w:t>
      </w:r>
      <w:r>
        <w:rPr>
          <w:rFonts w:ascii="Arial" w:eastAsia="Times New Roman" w:hAnsi="Arial" w:cs="Arial"/>
          <w:sz w:val="20"/>
          <w:szCs w:val="20"/>
        </w:rPr>
        <w:t xml:space="preserve"> agency also </w:t>
      </w:r>
      <w:r w:rsidRPr="00061ABD">
        <w:rPr>
          <w:rFonts w:ascii="Arial" w:eastAsia="Times New Roman" w:hAnsi="Arial" w:cs="Arial"/>
          <w:sz w:val="20"/>
          <w:szCs w:val="20"/>
        </w:rPr>
        <w:t>acknowledge</w:t>
      </w:r>
      <w:r>
        <w:rPr>
          <w:rFonts w:ascii="Arial" w:eastAsia="Times New Roman" w:hAnsi="Arial" w:cs="Arial"/>
          <w:sz w:val="20"/>
          <w:szCs w:val="20"/>
        </w:rPr>
        <w:t>s</w:t>
      </w:r>
      <w:r w:rsidRPr="00061ABD">
        <w:rPr>
          <w:rFonts w:ascii="Arial" w:eastAsia="Times New Roman" w:hAnsi="Arial" w:cs="Arial"/>
          <w:sz w:val="20"/>
          <w:szCs w:val="20"/>
        </w:rPr>
        <w:t xml:space="preserve"> a need to streamline the approach to data collection, calculation, and reporting to fully leverage clinical and patient-centered information for measurement, </w:t>
      </w:r>
      <w:proofErr w:type="gramStart"/>
      <w:r w:rsidRPr="00061ABD">
        <w:rPr>
          <w:rFonts w:ascii="Arial" w:eastAsia="Times New Roman" w:hAnsi="Arial" w:cs="Arial"/>
          <w:sz w:val="20"/>
          <w:szCs w:val="20"/>
        </w:rPr>
        <w:t>improvement</w:t>
      </w:r>
      <w:proofErr w:type="gramEnd"/>
      <w:r w:rsidRPr="00061ABD">
        <w:rPr>
          <w:rFonts w:ascii="Arial" w:eastAsia="Times New Roman" w:hAnsi="Arial" w:cs="Arial"/>
          <w:sz w:val="20"/>
          <w:szCs w:val="20"/>
        </w:rPr>
        <w:t xml:space="preserve"> and learning. </w:t>
      </w:r>
    </w:p>
    <w:p w14:paraId="5A1E6B88" w14:textId="77777777" w:rsidR="00061ABD" w:rsidRPr="00061ABD" w:rsidRDefault="00061ABD" w:rsidP="00061ABD">
      <w:pPr>
        <w:rPr>
          <w:rFonts w:ascii="Arial" w:eastAsia="Times New Roman" w:hAnsi="Arial" w:cs="Arial"/>
          <w:sz w:val="20"/>
          <w:szCs w:val="20"/>
        </w:rPr>
      </w:pPr>
    </w:p>
    <w:p w14:paraId="04C03247" w14:textId="58943436" w:rsidR="00061ABD" w:rsidRDefault="001268F2" w:rsidP="00142C10">
      <w:pPr>
        <w:rPr>
          <w:rFonts w:ascii="Arial" w:eastAsia="Times New Roman" w:hAnsi="Arial" w:cs="Arial"/>
          <w:sz w:val="20"/>
          <w:szCs w:val="20"/>
        </w:rPr>
      </w:pPr>
      <w:r>
        <w:rPr>
          <w:rFonts w:ascii="Arial" w:eastAsia="Times New Roman" w:hAnsi="Arial" w:cs="Arial"/>
          <w:sz w:val="20"/>
          <w:szCs w:val="20"/>
        </w:rPr>
        <w:t>A</w:t>
      </w:r>
      <w:r w:rsidR="00061ABD" w:rsidRPr="00061ABD">
        <w:rPr>
          <w:rFonts w:ascii="Arial" w:eastAsia="Times New Roman" w:hAnsi="Arial" w:cs="Arial"/>
          <w:sz w:val="20"/>
          <w:szCs w:val="20"/>
        </w:rPr>
        <w:t xml:space="preserve">ligning technology requirements for payers, health care providers and health </w:t>
      </w:r>
      <w:r w:rsidR="00061ABD">
        <w:rPr>
          <w:rFonts w:ascii="Arial" w:eastAsia="Times New Roman" w:hAnsi="Arial" w:cs="Arial"/>
          <w:sz w:val="20"/>
          <w:szCs w:val="20"/>
        </w:rPr>
        <w:t>information technology (</w:t>
      </w:r>
      <w:r w:rsidR="00061ABD" w:rsidRPr="00061ABD">
        <w:rPr>
          <w:rFonts w:ascii="Arial" w:eastAsia="Times New Roman" w:hAnsi="Arial" w:cs="Arial"/>
          <w:sz w:val="20"/>
          <w:szCs w:val="20"/>
        </w:rPr>
        <w:t>IT</w:t>
      </w:r>
      <w:r w:rsidR="00061ABD">
        <w:rPr>
          <w:rFonts w:ascii="Arial" w:eastAsia="Times New Roman" w:hAnsi="Arial" w:cs="Arial"/>
          <w:sz w:val="20"/>
          <w:szCs w:val="20"/>
        </w:rPr>
        <w:t>)</w:t>
      </w:r>
      <w:r w:rsidR="00061ABD" w:rsidRPr="00061ABD">
        <w:rPr>
          <w:rFonts w:ascii="Arial" w:eastAsia="Times New Roman" w:hAnsi="Arial" w:cs="Arial"/>
          <w:sz w:val="20"/>
          <w:szCs w:val="20"/>
        </w:rPr>
        <w:t xml:space="preserve"> developers can advance an interoperable health IT infrastructure that ensures providers and patient have </w:t>
      </w:r>
      <w:r w:rsidR="00061ABD" w:rsidRPr="00061ABD">
        <w:rPr>
          <w:rFonts w:ascii="Arial" w:eastAsia="Times New Roman" w:hAnsi="Arial" w:cs="Arial"/>
          <w:sz w:val="20"/>
          <w:szCs w:val="20"/>
        </w:rPr>
        <w:lastRenderedPageBreak/>
        <w:t>access to health data when and where it is needed.</w:t>
      </w:r>
      <w:r>
        <w:rPr>
          <w:rFonts w:ascii="Arial" w:eastAsia="Times New Roman" w:hAnsi="Arial" w:cs="Arial"/>
          <w:sz w:val="20"/>
          <w:szCs w:val="20"/>
        </w:rPr>
        <w:t xml:space="preserve"> </w:t>
      </w:r>
      <w:r w:rsidR="00061ABD" w:rsidRPr="000A584F">
        <w:rPr>
          <w:rFonts w:ascii="Arial" w:eastAsia="Times New Roman" w:hAnsi="Arial" w:cs="Arial"/>
          <w:b/>
          <w:bCs/>
          <w:sz w:val="20"/>
          <w:szCs w:val="20"/>
        </w:rPr>
        <w:t>The MHA supports the use and adoption of Fast Healthcare Interoperative Resources (FHIR) Application Programming Interfaces (APIs) across the healthcare system</w:t>
      </w:r>
      <w:r w:rsidR="00061ABD">
        <w:rPr>
          <w:rFonts w:ascii="Arial" w:eastAsia="Times New Roman" w:hAnsi="Arial" w:cs="Arial"/>
          <w:sz w:val="20"/>
          <w:szCs w:val="20"/>
        </w:rPr>
        <w:t xml:space="preserve">. </w:t>
      </w:r>
      <w:r w:rsidR="00734CBF">
        <w:rPr>
          <w:rFonts w:ascii="Arial" w:eastAsia="Times New Roman" w:hAnsi="Arial" w:cs="Arial"/>
          <w:sz w:val="20"/>
          <w:szCs w:val="20"/>
        </w:rPr>
        <w:t xml:space="preserve">We agree that FHIR will be a vital part of streamlining reporting and reducing the associated burden, but we encourage the CMS to work with HIT vendors to reduce the cost and complexity of providers having to implement any new interoperability standards. The MHA </w:t>
      </w:r>
      <w:r>
        <w:rPr>
          <w:rFonts w:ascii="Arial" w:eastAsia="Times New Roman" w:hAnsi="Arial" w:cs="Arial"/>
          <w:sz w:val="20"/>
          <w:szCs w:val="20"/>
        </w:rPr>
        <w:t>look</w:t>
      </w:r>
      <w:r w:rsidR="00734CBF">
        <w:rPr>
          <w:rFonts w:ascii="Arial" w:eastAsia="Times New Roman" w:hAnsi="Arial" w:cs="Arial"/>
          <w:sz w:val="20"/>
          <w:szCs w:val="20"/>
        </w:rPr>
        <w:t>s</w:t>
      </w:r>
      <w:r>
        <w:rPr>
          <w:rFonts w:ascii="Arial" w:eastAsia="Times New Roman" w:hAnsi="Arial" w:cs="Arial"/>
          <w:sz w:val="20"/>
          <w:szCs w:val="20"/>
        </w:rPr>
        <w:t xml:space="preserve"> forward to providing additional input when a future proposed rule is issued. </w:t>
      </w:r>
    </w:p>
    <w:p w14:paraId="1B446DDC" w14:textId="33FF90F4" w:rsidR="00061ABD" w:rsidRDefault="00142C10" w:rsidP="007B28BA">
      <w:pPr>
        <w:rPr>
          <w:rFonts w:ascii="Arial" w:hAnsi="Arial" w:cs="Arial"/>
          <w:b/>
          <w:sz w:val="20"/>
          <w:szCs w:val="20"/>
          <w:u w:val="single"/>
        </w:rPr>
      </w:pPr>
      <w:r w:rsidRPr="001A19BA">
        <w:rPr>
          <w:rFonts w:ascii="Arial" w:eastAsia="Times New Roman" w:hAnsi="Arial" w:cs="Arial"/>
          <w:sz w:val="20"/>
          <w:szCs w:val="20"/>
        </w:rPr>
        <w:t> </w:t>
      </w:r>
    </w:p>
    <w:p w14:paraId="0A7872DE" w14:textId="4462BEF4" w:rsidR="007B28BA" w:rsidRPr="00E718AB" w:rsidRDefault="00FD7941" w:rsidP="00216A78">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T</w:t>
      </w:r>
      <w:r w:rsidR="005527F9" w:rsidRPr="00E718AB">
        <w:rPr>
          <w:rFonts w:ascii="Arial" w:hAnsi="Arial" w:cs="Arial"/>
          <w:b/>
          <w:color w:val="000000"/>
          <w:sz w:val="20"/>
          <w:szCs w:val="20"/>
          <w:highlight w:val="lightGray"/>
          <w:u w:val="single"/>
        </w:rPr>
        <w:t xml:space="preserve">IMING </w:t>
      </w:r>
      <w:r w:rsidR="00EA6C06" w:rsidRPr="00E718AB">
        <w:rPr>
          <w:rFonts w:ascii="Arial" w:hAnsi="Arial" w:cs="Arial"/>
          <w:b/>
          <w:color w:val="000000"/>
          <w:sz w:val="20"/>
          <w:szCs w:val="20"/>
          <w:highlight w:val="lightGray"/>
          <w:u w:val="single"/>
        </w:rPr>
        <w:t>FOR</w:t>
      </w:r>
      <w:r w:rsidR="005527F9" w:rsidRPr="00E718AB">
        <w:rPr>
          <w:rFonts w:ascii="Arial" w:hAnsi="Arial" w:cs="Arial"/>
          <w:b/>
          <w:color w:val="000000"/>
          <w:sz w:val="20"/>
          <w:szCs w:val="20"/>
          <w:highlight w:val="lightGray"/>
          <w:u w:val="single"/>
        </w:rPr>
        <w:t xml:space="preserve"> RELEASE </w:t>
      </w:r>
      <w:r w:rsidR="00EA6C06" w:rsidRPr="00E718AB">
        <w:rPr>
          <w:rFonts w:ascii="Arial" w:hAnsi="Arial" w:cs="Arial"/>
          <w:b/>
          <w:color w:val="000000"/>
          <w:sz w:val="20"/>
          <w:szCs w:val="20"/>
          <w:highlight w:val="lightGray"/>
          <w:u w:val="single"/>
        </w:rPr>
        <w:t xml:space="preserve">OF </w:t>
      </w:r>
      <w:r w:rsidR="005527F9" w:rsidRPr="00E718AB">
        <w:rPr>
          <w:rFonts w:ascii="Arial" w:hAnsi="Arial" w:cs="Arial"/>
          <w:b/>
          <w:color w:val="000000"/>
          <w:sz w:val="20"/>
          <w:szCs w:val="20"/>
          <w:highlight w:val="lightGray"/>
          <w:u w:val="single"/>
        </w:rPr>
        <w:t>QUALITY</w:t>
      </w:r>
      <w:r w:rsidR="00EA6C06" w:rsidRPr="00E718AB">
        <w:rPr>
          <w:rFonts w:ascii="Arial" w:hAnsi="Arial" w:cs="Arial"/>
          <w:b/>
          <w:color w:val="000000"/>
          <w:sz w:val="20"/>
          <w:szCs w:val="20"/>
          <w:highlight w:val="lightGray"/>
          <w:u w:val="single"/>
        </w:rPr>
        <w:t>-</w:t>
      </w:r>
      <w:r w:rsidR="005527F9" w:rsidRPr="00E718AB">
        <w:rPr>
          <w:rFonts w:ascii="Arial" w:hAnsi="Arial" w:cs="Arial"/>
          <w:b/>
          <w:color w:val="000000"/>
          <w:sz w:val="20"/>
          <w:szCs w:val="20"/>
          <w:highlight w:val="lightGray"/>
          <w:u w:val="single"/>
        </w:rPr>
        <w:t>PROGRAM FACTORS</w:t>
      </w:r>
    </w:p>
    <w:p w14:paraId="7666B49C" w14:textId="77777777" w:rsidR="00A606BF" w:rsidRPr="00E718AB" w:rsidRDefault="00A606BF" w:rsidP="00FE3771">
      <w:pPr>
        <w:rPr>
          <w:rFonts w:ascii="Arial" w:hAnsi="Arial" w:cs="Arial"/>
          <w:sz w:val="20"/>
          <w:szCs w:val="20"/>
        </w:rPr>
      </w:pPr>
    </w:p>
    <w:p w14:paraId="62280BBC" w14:textId="1450AF6D" w:rsidR="007B28BA" w:rsidRPr="007B28BA" w:rsidRDefault="00FE3771" w:rsidP="00FE3771">
      <w:pPr>
        <w:rPr>
          <w:rFonts w:ascii="Arial" w:hAnsi="Arial" w:cs="Arial"/>
          <w:sz w:val="20"/>
          <w:szCs w:val="20"/>
        </w:rPr>
      </w:pPr>
      <w:r>
        <w:rPr>
          <w:rFonts w:ascii="Arial" w:hAnsi="Arial" w:cs="Arial"/>
          <w:sz w:val="20"/>
          <w:szCs w:val="20"/>
        </w:rPr>
        <w:t>Historically, the CMS has finalized factors for the value-based purchasing, readmissions reduction and hospital</w:t>
      </w:r>
      <w:r w:rsidR="00EA6C06">
        <w:rPr>
          <w:rFonts w:ascii="Arial" w:hAnsi="Arial" w:cs="Arial"/>
          <w:sz w:val="20"/>
          <w:szCs w:val="20"/>
        </w:rPr>
        <w:t>-</w:t>
      </w:r>
      <w:r>
        <w:rPr>
          <w:rFonts w:ascii="Arial" w:hAnsi="Arial" w:cs="Arial"/>
          <w:sz w:val="20"/>
          <w:szCs w:val="20"/>
        </w:rPr>
        <w:t xml:space="preserve">acquired conditions reduction programs </w:t>
      </w:r>
      <w:r w:rsidR="00DC38B9">
        <w:rPr>
          <w:rFonts w:ascii="Arial" w:hAnsi="Arial" w:cs="Arial"/>
          <w:sz w:val="20"/>
          <w:szCs w:val="20"/>
        </w:rPr>
        <w:t xml:space="preserve">several months </w:t>
      </w:r>
      <w:r>
        <w:rPr>
          <w:rFonts w:ascii="Arial" w:hAnsi="Arial" w:cs="Arial"/>
          <w:sz w:val="20"/>
          <w:szCs w:val="20"/>
        </w:rPr>
        <w:t xml:space="preserve">after the beginning of the </w:t>
      </w:r>
      <w:r w:rsidR="00201714">
        <w:rPr>
          <w:rFonts w:ascii="Arial" w:hAnsi="Arial" w:cs="Arial"/>
          <w:sz w:val="20"/>
          <w:szCs w:val="20"/>
        </w:rPr>
        <w:t>FY</w:t>
      </w:r>
      <w:r w:rsidR="00DD3B9C">
        <w:rPr>
          <w:rFonts w:ascii="Arial" w:hAnsi="Arial" w:cs="Arial"/>
          <w:sz w:val="20"/>
          <w:szCs w:val="20"/>
        </w:rPr>
        <w:t xml:space="preserve">, which has meant that hospitals do not know their </w:t>
      </w:r>
      <w:r w:rsidR="00201714">
        <w:rPr>
          <w:rFonts w:ascii="Arial" w:hAnsi="Arial" w:cs="Arial"/>
          <w:sz w:val="20"/>
          <w:szCs w:val="20"/>
        </w:rPr>
        <w:t xml:space="preserve">final </w:t>
      </w:r>
      <w:r w:rsidR="00DD3B9C">
        <w:rPr>
          <w:rFonts w:ascii="Arial" w:hAnsi="Arial" w:cs="Arial"/>
          <w:sz w:val="20"/>
          <w:szCs w:val="20"/>
        </w:rPr>
        <w:t xml:space="preserve">payment adjustment for these programs until several months into the new </w:t>
      </w:r>
      <w:r w:rsidR="00201714">
        <w:rPr>
          <w:rFonts w:ascii="Arial" w:hAnsi="Arial" w:cs="Arial"/>
          <w:sz w:val="20"/>
          <w:szCs w:val="20"/>
        </w:rPr>
        <w:t>FY</w:t>
      </w:r>
      <w:r>
        <w:rPr>
          <w:rFonts w:ascii="Arial" w:hAnsi="Arial" w:cs="Arial"/>
          <w:sz w:val="20"/>
          <w:szCs w:val="20"/>
        </w:rPr>
        <w:t>. For the FY 20</w:t>
      </w:r>
      <w:r w:rsidR="00DC38B9">
        <w:rPr>
          <w:rFonts w:ascii="Arial" w:hAnsi="Arial" w:cs="Arial"/>
          <w:sz w:val="20"/>
          <w:szCs w:val="20"/>
        </w:rPr>
        <w:t>2</w:t>
      </w:r>
      <w:r w:rsidR="00F72506">
        <w:rPr>
          <w:rFonts w:ascii="Arial" w:hAnsi="Arial" w:cs="Arial"/>
          <w:sz w:val="20"/>
          <w:szCs w:val="20"/>
        </w:rPr>
        <w:t>1</w:t>
      </w:r>
      <w:r>
        <w:rPr>
          <w:rFonts w:ascii="Arial" w:hAnsi="Arial" w:cs="Arial"/>
          <w:sz w:val="20"/>
          <w:szCs w:val="20"/>
        </w:rPr>
        <w:t xml:space="preserve"> program</w:t>
      </w:r>
      <w:r w:rsidR="00DD3B9C">
        <w:rPr>
          <w:rFonts w:ascii="Arial" w:hAnsi="Arial" w:cs="Arial"/>
          <w:sz w:val="20"/>
          <w:szCs w:val="20"/>
        </w:rPr>
        <w:t>s</w:t>
      </w:r>
      <w:r>
        <w:rPr>
          <w:rFonts w:ascii="Arial" w:hAnsi="Arial" w:cs="Arial"/>
          <w:sz w:val="20"/>
          <w:szCs w:val="20"/>
        </w:rPr>
        <w:t xml:space="preserve">, the CMS did not release final factors until February. This delay is problematic for hospitals since these factors impact Medicare payments back to Oct. 1. Hospitals are subject to </w:t>
      </w:r>
      <w:r w:rsidR="00F636F0">
        <w:rPr>
          <w:rFonts w:ascii="Arial" w:hAnsi="Arial" w:cs="Arial"/>
          <w:sz w:val="20"/>
          <w:szCs w:val="20"/>
        </w:rPr>
        <w:t xml:space="preserve">CMS </w:t>
      </w:r>
      <w:r>
        <w:rPr>
          <w:rFonts w:ascii="Arial" w:hAnsi="Arial" w:cs="Arial"/>
          <w:sz w:val="20"/>
          <w:szCs w:val="20"/>
        </w:rPr>
        <w:t xml:space="preserve">deadlines for </w:t>
      </w:r>
      <w:r w:rsidR="00F636F0">
        <w:rPr>
          <w:rFonts w:ascii="Arial" w:hAnsi="Arial" w:cs="Arial"/>
          <w:sz w:val="20"/>
          <w:szCs w:val="20"/>
        </w:rPr>
        <w:t xml:space="preserve">data submission related to the quality-based programs. If the deadlines are too close to the beginning of the </w:t>
      </w:r>
      <w:r w:rsidR="00201714">
        <w:rPr>
          <w:rFonts w:ascii="Arial" w:hAnsi="Arial" w:cs="Arial"/>
          <w:sz w:val="20"/>
          <w:szCs w:val="20"/>
        </w:rPr>
        <w:t>FY</w:t>
      </w:r>
      <w:r w:rsidR="00F636F0">
        <w:rPr>
          <w:rFonts w:ascii="Arial" w:hAnsi="Arial" w:cs="Arial"/>
          <w:sz w:val="20"/>
          <w:szCs w:val="20"/>
        </w:rPr>
        <w:t xml:space="preserve">, we recommend that the CMS revise these deadlines or the timeframes for the quality program data elements to ensure the final factors can be released prior to Oct. 1. Late release of this data by the CMS creates </w:t>
      </w:r>
      <w:r w:rsidR="00201714">
        <w:rPr>
          <w:rFonts w:ascii="Arial" w:hAnsi="Arial" w:cs="Arial"/>
          <w:sz w:val="20"/>
          <w:szCs w:val="20"/>
        </w:rPr>
        <w:t xml:space="preserve">an </w:t>
      </w:r>
      <w:r w:rsidR="00F636F0">
        <w:rPr>
          <w:rFonts w:ascii="Arial" w:hAnsi="Arial" w:cs="Arial"/>
          <w:sz w:val="20"/>
          <w:szCs w:val="20"/>
        </w:rPr>
        <w:t>unnecessary administrative burden for the MACs and hospitals related to the reprocessing of claims. In addition, hospitals are left in limbo</w:t>
      </w:r>
      <w:r w:rsidR="00EA6C06">
        <w:rPr>
          <w:rFonts w:ascii="Arial" w:hAnsi="Arial" w:cs="Arial"/>
          <w:sz w:val="20"/>
          <w:szCs w:val="20"/>
        </w:rPr>
        <w:t>,</w:t>
      </w:r>
      <w:r w:rsidR="00F636F0">
        <w:rPr>
          <w:rFonts w:ascii="Arial" w:hAnsi="Arial" w:cs="Arial"/>
          <w:sz w:val="20"/>
          <w:szCs w:val="20"/>
        </w:rPr>
        <w:t xml:space="preserve"> not knowing their final Medicare payment rate until months after the start of the </w:t>
      </w:r>
      <w:r w:rsidR="00201714">
        <w:rPr>
          <w:rFonts w:ascii="Arial" w:hAnsi="Arial" w:cs="Arial"/>
          <w:sz w:val="20"/>
          <w:szCs w:val="20"/>
        </w:rPr>
        <w:t>FY</w:t>
      </w:r>
      <w:r w:rsidR="00F636F0">
        <w:rPr>
          <w:rFonts w:ascii="Arial" w:hAnsi="Arial" w:cs="Arial"/>
          <w:sz w:val="20"/>
          <w:szCs w:val="20"/>
        </w:rPr>
        <w:t xml:space="preserve">. This is further compounded by </w:t>
      </w:r>
      <w:r w:rsidR="00EA6C06">
        <w:rPr>
          <w:rFonts w:ascii="Arial" w:hAnsi="Arial" w:cs="Arial"/>
          <w:sz w:val="20"/>
          <w:szCs w:val="20"/>
        </w:rPr>
        <w:t>the Medicare Advantage plans using</w:t>
      </w:r>
      <w:r w:rsidR="00F636F0">
        <w:rPr>
          <w:rFonts w:ascii="Arial" w:hAnsi="Arial" w:cs="Arial"/>
          <w:sz w:val="20"/>
          <w:szCs w:val="20"/>
        </w:rPr>
        <w:t xml:space="preserve"> those factors.</w:t>
      </w:r>
      <w:r w:rsidR="00746ACA">
        <w:rPr>
          <w:rFonts w:ascii="Arial" w:hAnsi="Arial" w:cs="Arial"/>
          <w:sz w:val="20"/>
          <w:szCs w:val="20"/>
        </w:rPr>
        <w:t xml:space="preserve"> </w:t>
      </w:r>
      <w:r w:rsidRPr="00FE3771">
        <w:rPr>
          <w:rFonts w:ascii="Arial" w:hAnsi="Arial" w:cs="Arial"/>
          <w:b/>
          <w:sz w:val="20"/>
          <w:szCs w:val="20"/>
        </w:rPr>
        <w:t xml:space="preserve">The MHA recommends that the CMS release final </w:t>
      </w:r>
      <w:r w:rsidR="00DD3B9C">
        <w:rPr>
          <w:rFonts w:ascii="Arial" w:hAnsi="Arial" w:cs="Arial"/>
          <w:b/>
          <w:sz w:val="20"/>
          <w:szCs w:val="20"/>
        </w:rPr>
        <w:t xml:space="preserve">program </w:t>
      </w:r>
      <w:r w:rsidRPr="00FE3771">
        <w:rPr>
          <w:rFonts w:ascii="Arial" w:hAnsi="Arial" w:cs="Arial"/>
          <w:b/>
          <w:sz w:val="20"/>
          <w:szCs w:val="20"/>
        </w:rPr>
        <w:t>factor</w:t>
      </w:r>
      <w:r w:rsidR="00DD3B9C">
        <w:rPr>
          <w:rFonts w:ascii="Arial" w:hAnsi="Arial" w:cs="Arial"/>
          <w:b/>
          <w:sz w:val="20"/>
          <w:szCs w:val="20"/>
        </w:rPr>
        <w:t xml:space="preserve">s </w:t>
      </w:r>
      <w:r w:rsidR="00EA6C06">
        <w:rPr>
          <w:rFonts w:ascii="Arial" w:hAnsi="Arial" w:cs="Arial"/>
          <w:b/>
          <w:sz w:val="20"/>
          <w:szCs w:val="20"/>
        </w:rPr>
        <w:t>before</w:t>
      </w:r>
      <w:r w:rsidR="00EA6C06" w:rsidRPr="00FE3771">
        <w:rPr>
          <w:rFonts w:ascii="Arial" w:hAnsi="Arial" w:cs="Arial"/>
          <w:b/>
          <w:sz w:val="20"/>
          <w:szCs w:val="20"/>
        </w:rPr>
        <w:t xml:space="preserve"> </w:t>
      </w:r>
      <w:r w:rsidRPr="00FE3771">
        <w:rPr>
          <w:rFonts w:ascii="Arial" w:hAnsi="Arial" w:cs="Arial"/>
          <w:b/>
          <w:sz w:val="20"/>
          <w:szCs w:val="20"/>
        </w:rPr>
        <w:t xml:space="preserve">Oct. 1, prior to the beginning of the </w:t>
      </w:r>
      <w:r w:rsidR="00201714">
        <w:rPr>
          <w:rFonts w:ascii="Arial" w:hAnsi="Arial" w:cs="Arial"/>
          <w:b/>
          <w:sz w:val="20"/>
          <w:szCs w:val="20"/>
        </w:rPr>
        <w:t>FY</w:t>
      </w:r>
      <w:r w:rsidR="00DC38B9">
        <w:rPr>
          <w:rFonts w:ascii="Arial" w:hAnsi="Arial" w:cs="Arial"/>
          <w:b/>
          <w:sz w:val="20"/>
          <w:szCs w:val="20"/>
        </w:rPr>
        <w:t xml:space="preserve"> consistent with our comments </w:t>
      </w:r>
      <w:r w:rsidR="00201714">
        <w:rPr>
          <w:rFonts w:ascii="Arial" w:hAnsi="Arial" w:cs="Arial"/>
          <w:b/>
          <w:sz w:val="20"/>
          <w:szCs w:val="20"/>
        </w:rPr>
        <w:t xml:space="preserve">in previous years on the </w:t>
      </w:r>
      <w:r w:rsidR="00DC38B9">
        <w:rPr>
          <w:rFonts w:ascii="Arial" w:hAnsi="Arial" w:cs="Arial"/>
          <w:b/>
          <w:sz w:val="20"/>
          <w:szCs w:val="20"/>
        </w:rPr>
        <w:t>IPPS proposed rule</w:t>
      </w:r>
      <w:r w:rsidRPr="00FE3771">
        <w:rPr>
          <w:rFonts w:ascii="Arial" w:hAnsi="Arial" w:cs="Arial"/>
          <w:b/>
          <w:sz w:val="20"/>
          <w:szCs w:val="20"/>
        </w:rPr>
        <w:t>.</w:t>
      </w:r>
      <w:r>
        <w:rPr>
          <w:rFonts w:ascii="Arial" w:hAnsi="Arial" w:cs="Arial"/>
          <w:sz w:val="20"/>
          <w:szCs w:val="20"/>
        </w:rPr>
        <w:t xml:space="preserve"> </w:t>
      </w:r>
    </w:p>
    <w:p w14:paraId="2E8189E7" w14:textId="77777777" w:rsidR="005E343C" w:rsidRPr="007B28BA" w:rsidRDefault="005E343C" w:rsidP="007B28BA">
      <w:pPr>
        <w:rPr>
          <w:rFonts w:ascii="Arial" w:hAnsi="Arial" w:cs="Arial"/>
          <w:b/>
          <w:sz w:val="20"/>
          <w:szCs w:val="20"/>
        </w:rPr>
      </w:pPr>
    </w:p>
    <w:p w14:paraId="116F07CB" w14:textId="77777777" w:rsidR="007B28BA" w:rsidRPr="00E718AB" w:rsidRDefault="007B28BA" w:rsidP="007B28BA">
      <w:pPr>
        <w:autoSpaceDE w:val="0"/>
        <w:autoSpaceDN w:val="0"/>
        <w:adjustRightInd w:val="0"/>
        <w:rPr>
          <w:rFonts w:ascii="Arial" w:hAnsi="Arial" w:cs="Arial"/>
          <w:b/>
          <w:color w:val="000000"/>
          <w:sz w:val="20"/>
          <w:szCs w:val="20"/>
          <w:highlight w:val="lightGray"/>
          <w:u w:val="single"/>
        </w:rPr>
      </w:pPr>
      <w:r w:rsidRPr="00E718AB">
        <w:rPr>
          <w:rFonts w:ascii="Arial" w:hAnsi="Arial" w:cs="Arial"/>
          <w:b/>
          <w:color w:val="000000"/>
          <w:sz w:val="20"/>
          <w:szCs w:val="20"/>
          <w:highlight w:val="lightGray"/>
          <w:u w:val="single"/>
        </w:rPr>
        <w:t>SUMMARY</w:t>
      </w:r>
    </w:p>
    <w:p w14:paraId="6B8A9F0E" w14:textId="77777777" w:rsidR="007B28BA" w:rsidRPr="007B28BA" w:rsidRDefault="007B28BA" w:rsidP="007B28BA">
      <w:pPr>
        <w:autoSpaceDE w:val="0"/>
        <w:autoSpaceDN w:val="0"/>
        <w:adjustRightInd w:val="0"/>
        <w:rPr>
          <w:rFonts w:ascii="Arial" w:hAnsi="Arial" w:cs="Arial"/>
          <w:b/>
          <w:color w:val="000000"/>
          <w:sz w:val="20"/>
          <w:szCs w:val="20"/>
          <w:u w:val="single"/>
        </w:rPr>
      </w:pPr>
    </w:p>
    <w:p w14:paraId="4004D1A6" w14:textId="4260C09B" w:rsidR="007B28BA" w:rsidRPr="007B28BA" w:rsidRDefault="007B28BA" w:rsidP="007B28BA">
      <w:pPr>
        <w:rPr>
          <w:rFonts w:ascii="Arial" w:hAnsi="Arial" w:cs="Arial"/>
          <w:sz w:val="20"/>
          <w:szCs w:val="20"/>
        </w:rPr>
      </w:pPr>
      <w:r w:rsidRPr="007B28BA">
        <w:rPr>
          <w:rFonts w:ascii="Arial" w:hAnsi="Arial" w:cs="Arial"/>
          <w:sz w:val="20"/>
          <w:szCs w:val="20"/>
        </w:rPr>
        <w:t>The MHA appreciates this opportunity to provide comments to the CMS regarding this proposed inpatient rule</w:t>
      </w:r>
      <w:r w:rsidR="001973C6">
        <w:rPr>
          <w:rFonts w:ascii="Arial" w:hAnsi="Arial" w:cs="Arial"/>
          <w:sz w:val="20"/>
          <w:szCs w:val="20"/>
        </w:rPr>
        <w:t xml:space="preserve"> and believe that our proposed changes will have a positive impact on hospitals and all patients they serve</w:t>
      </w:r>
      <w:r w:rsidRPr="007B28BA">
        <w:rPr>
          <w:rFonts w:ascii="Arial" w:hAnsi="Arial" w:cs="Arial"/>
          <w:sz w:val="20"/>
          <w:szCs w:val="20"/>
        </w:rPr>
        <w:t xml:space="preserve">. If you have questions regarding this comment letter, please contact </w:t>
      </w:r>
      <w:r w:rsidR="00D66D71">
        <w:rPr>
          <w:rFonts w:ascii="Arial" w:hAnsi="Arial" w:cs="Arial"/>
          <w:sz w:val="20"/>
          <w:szCs w:val="20"/>
        </w:rPr>
        <w:t xml:space="preserve">me </w:t>
      </w:r>
      <w:r w:rsidRPr="007B28BA">
        <w:rPr>
          <w:rFonts w:ascii="Arial" w:hAnsi="Arial" w:cs="Arial"/>
          <w:sz w:val="20"/>
          <w:szCs w:val="20"/>
        </w:rPr>
        <w:t xml:space="preserve">at (517) 703-8608 or </w:t>
      </w:r>
      <w:r w:rsidR="00D66D71">
        <w:rPr>
          <w:rFonts w:ascii="Arial" w:hAnsi="Arial" w:cs="Arial"/>
          <w:sz w:val="20"/>
          <w:szCs w:val="20"/>
        </w:rPr>
        <w:t xml:space="preserve">via email at </w:t>
      </w:r>
      <w:hyperlink r:id="rId11" w:history="1">
        <w:r w:rsidR="00D66D71" w:rsidRPr="001F1478">
          <w:rPr>
            <w:rStyle w:val="Hyperlink"/>
            <w:rFonts w:ascii="Arial" w:hAnsi="Arial" w:cs="Arial"/>
            <w:sz w:val="20"/>
            <w:szCs w:val="20"/>
          </w:rPr>
          <w:t>vkunz@mha.org</w:t>
        </w:r>
      </w:hyperlink>
      <w:r w:rsidR="00D66D71">
        <w:rPr>
          <w:rFonts w:ascii="Arial" w:hAnsi="Arial" w:cs="Arial"/>
          <w:sz w:val="20"/>
          <w:szCs w:val="20"/>
        </w:rPr>
        <w:t>.</w:t>
      </w:r>
    </w:p>
    <w:p w14:paraId="13EBA6FF" w14:textId="727D5536" w:rsidR="007B28BA" w:rsidRPr="007B28BA" w:rsidRDefault="007B28BA" w:rsidP="007B28BA">
      <w:pPr>
        <w:rPr>
          <w:rFonts w:ascii="Arial" w:hAnsi="Arial" w:cs="Arial"/>
          <w:sz w:val="20"/>
          <w:szCs w:val="20"/>
        </w:rPr>
      </w:pPr>
    </w:p>
    <w:p w14:paraId="5272485F" w14:textId="22F4BBE7" w:rsidR="007B28BA" w:rsidRPr="007B28BA" w:rsidRDefault="007B28BA" w:rsidP="007B28BA">
      <w:pPr>
        <w:spacing w:line="221" w:lineRule="auto"/>
        <w:rPr>
          <w:rFonts w:ascii="Arial" w:hAnsi="Arial" w:cs="Arial"/>
          <w:iCs/>
          <w:sz w:val="20"/>
          <w:szCs w:val="20"/>
        </w:rPr>
      </w:pPr>
      <w:r w:rsidRPr="007B28BA">
        <w:rPr>
          <w:rFonts w:ascii="Arial" w:hAnsi="Arial" w:cs="Arial"/>
          <w:iCs/>
          <w:sz w:val="20"/>
          <w:szCs w:val="20"/>
        </w:rPr>
        <w:t>Sincerely,</w:t>
      </w:r>
    </w:p>
    <w:p w14:paraId="287B9EA1" w14:textId="475A9D50" w:rsidR="003E639D" w:rsidRDefault="003E639D" w:rsidP="00C00F3C">
      <w:pPr>
        <w:spacing w:line="221" w:lineRule="auto"/>
        <w:rPr>
          <w:rFonts w:ascii="Arial" w:hAnsi="Arial" w:cs="Arial"/>
        </w:rPr>
      </w:pPr>
    </w:p>
    <w:p w14:paraId="4EAB3EA1" w14:textId="1A8E9323" w:rsidR="007A5004" w:rsidRDefault="007A5004" w:rsidP="00C00F3C">
      <w:pPr>
        <w:spacing w:line="221" w:lineRule="auto"/>
        <w:rPr>
          <w:rFonts w:ascii="Arial" w:hAnsi="Arial" w:cs="Arial"/>
        </w:rPr>
      </w:pPr>
    </w:p>
    <w:p w14:paraId="6AAF67B9" w14:textId="662B2562" w:rsidR="007A5004" w:rsidRDefault="007A5004" w:rsidP="00C00F3C">
      <w:pPr>
        <w:spacing w:line="221" w:lineRule="auto"/>
        <w:rPr>
          <w:rFonts w:ascii="Arial" w:hAnsi="Arial" w:cs="Arial"/>
        </w:rPr>
      </w:pPr>
    </w:p>
    <w:p w14:paraId="3569F86C" w14:textId="77777777" w:rsidR="004A7B87" w:rsidRDefault="004A7B87" w:rsidP="00C00F3C">
      <w:pPr>
        <w:spacing w:line="221" w:lineRule="auto"/>
        <w:rPr>
          <w:rFonts w:ascii="Arial" w:hAnsi="Arial" w:cs="Arial"/>
          <w:iCs/>
          <w:sz w:val="20"/>
          <w:szCs w:val="20"/>
        </w:rPr>
      </w:pPr>
    </w:p>
    <w:p w14:paraId="21603BE4" w14:textId="3D6C1AEE" w:rsidR="004A7B87" w:rsidRDefault="004A7B87" w:rsidP="00C00F3C">
      <w:pPr>
        <w:spacing w:line="221" w:lineRule="auto"/>
        <w:rPr>
          <w:rFonts w:ascii="Arial" w:hAnsi="Arial" w:cs="Arial"/>
          <w:iCs/>
          <w:sz w:val="20"/>
          <w:szCs w:val="20"/>
        </w:rPr>
      </w:pPr>
      <w:r>
        <w:rPr>
          <w:rFonts w:ascii="Arial" w:hAnsi="Arial" w:cs="Arial"/>
          <w:iCs/>
          <w:sz w:val="20"/>
          <w:szCs w:val="20"/>
        </w:rPr>
        <w:t>Vickie R. Kunz</w:t>
      </w:r>
    </w:p>
    <w:p w14:paraId="1251DB63" w14:textId="01351E20" w:rsidR="007A5004" w:rsidRPr="007A5004" w:rsidRDefault="007A5004" w:rsidP="00C00F3C">
      <w:pPr>
        <w:spacing w:line="221" w:lineRule="auto"/>
        <w:rPr>
          <w:rFonts w:ascii="Arial" w:hAnsi="Arial" w:cs="Arial"/>
          <w:iCs/>
          <w:sz w:val="20"/>
          <w:szCs w:val="20"/>
        </w:rPr>
      </w:pPr>
      <w:r w:rsidRPr="007A5004">
        <w:rPr>
          <w:rFonts w:ascii="Arial" w:hAnsi="Arial" w:cs="Arial"/>
          <w:iCs/>
          <w:sz w:val="20"/>
          <w:szCs w:val="20"/>
        </w:rPr>
        <w:t>Senior Director</w:t>
      </w:r>
      <w:r w:rsidR="004E36C2">
        <w:rPr>
          <w:rFonts w:ascii="Arial" w:hAnsi="Arial" w:cs="Arial"/>
          <w:iCs/>
          <w:sz w:val="20"/>
          <w:szCs w:val="20"/>
        </w:rPr>
        <w:t xml:space="preserve">, </w:t>
      </w:r>
      <w:r w:rsidRPr="007A5004">
        <w:rPr>
          <w:rFonts w:ascii="Arial" w:hAnsi="Arial" w:cs="Arial"/>
          <w:iCs/>
          <w:sz w:val="20"/>
          <w:szCs w:val="20"/>
        </w:rPr>
        <w:t>Health Finance</w:t>
      </w:r>
    </w:p>
    <w:sectPr w:rsidR="007A5004" w:rsidRPr="007A5004" w:rsidSect="003213B5">
      <w:headerReference w:type="even" r:id="rId12"/>
      <w:headerReference w:type="default" r:id="rId13"/>
      <w:headerReference w:type="first" r:id="rId14"/>
      <w:footerReference w:type="first" r:id="rId15"/>
      <w:pgSz w:w="12240" w:h="15840"/>
      <w:pgMar w:top="1440" w:right="1440" w:bottom="135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7E04" w14:textId="77777777" w:rsidR="001827E2" w:rsidRDefault="001827E2" w:rsidP="00A45407">
      <w:r>
        <w:separator/>
      </w:r>
    </w:p>
  </w:endnote>
  <w:endnote w:type="continuationSeparator" w:id="0">
    <w:p w14:paraId="0301E4F9" w14:textId="77777777" w:rsidR="001827E2" w:rsidRDefault="001827E2"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6C9" w14:textId="77777777" w:rsidR="001D17A2" w:rsidRDefault="001D17A2">
    <w:pPr>
      <w:pStyle w:val="Footer"/>
    </w:pPr>
    <w:r>
      <w:rPr>
        <w:noProof/>
      </w:rPr>
      <w:drawing>
        <wp:anchor distT="0" distB="0" distL="114300" distR="114300" simplePos="0" relativeHeight="25165926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A014" w14:textId="77777777" w:rsidR="001827E2" w:rsidRDefault="001827E2" w:rsidP="00A45407">
      <w:r>
        <w:separator/>
      </w:r>
    </w:p>
  </w:footnote>
  <w:footnote w:type="continuationSeparator" w:id="0">
    <w:p w14:paraId="69F7DD49" w14:textId="77777777" w:rsidR="001827E2" w:rsidRDefault="001827E2"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F8C" w14:textId="77777777" w:rsidR="001D17A2" w:rsidRDefault="001D17A2">
    <w:pPr>
      <w:pStyle w:val="Header"/>
    </w:pPr>
  </w:p>
  <w:p w14:paraId="30407F35" w14:textId="6E69D769" w:rsidR="001D17A2" w:rsidRPr="007B28BA" w:rsidRDefault="001D17A2" w:rsidP="007B28BA">
    <w:pPr>
      <w:rPr>
        <w:rFonts w:ascii="Arial" w:hAnsi="Arial" w:cs="Arial"/>
        <w:b/>
      </w:rPr>
    </w:pPr>
    <w:r w:rsidRPr="007B28BA">
      <w:rPr>
        <w:rFonts w:ascii="Arial" w:hAnsi="Arial" w:cs="Arial"/>
        <w:sz w:val="20"/>
        <w:szCs w:val="20"/>
      </w:rPr>
      <w:t xml:space="preserve">Michigan Health &amp; Hospital Association (MHA) </w:t>
    </w:r>
    <w:r w:rsidR="00F65318">
      <w:rPr>
        <w:rFonts w:ascii="Arial" w:hAnsi="Arial" w:cs="Arial"/>
        <w:sz w:val="20"/>
        <w:szCs w:val="20"/>
      </w:rPr>
      <w:t xml:space="preserve">- </w:t>
    </w:r>
    <w:r w:rsidR="00F65318" w:rsidRPr="00F65318">
      <w:rPr>
        <w:rFonts w:ascii="Arial" w:hAnsi="Arial" w:cs="Arial"/>
        <w:b/>
        <w:bCs/>
        <w:sz w:val="28"/>
        <w:szCs w:val="28"/>
      </w:rPr>
      <w:t xml:space="preserve">D R A F </w:t>
    </w:r>
    <w:r w:rsidR="00F65318" w:rsidRPr="00F65318">
      <w:rPr>
        <w:rFonts w:ascii="Arial" w:hAnsi="Arial" w:cs="Arial"/>
        <w:sz w:val="28"/>
        <w:szCs w:val="28"/>
      </w:rPr>
      <w:t xml:space="preserve">T </w:t>
    </w:r>
    <w:r w:rsidR="00F65318" w:rsidRPr="00F65318">
      <w:rPr>
        <w:rFonts w:ascii="Arial" w:hAnsi="Arial" w:cs="Arial"/>
        <w:b/>
        <w:bCs/>
        <w:sz w:val="28"/>
        <w:szCs w:val="28"/>
      </w:rPr>
      <w:t>- DRAFT – DRAFT- DRAFT</w:t>
    </w:r>
    <w:r w:rsidR="00F65318" w:rsidRPr="00F65318">
      <w:rPr>
        <w:rFonts w:ascii="Arial" w:hAnsi="Arial" w:cs="Arial"/>
        <w:sz w:val="28"/>
        <w:szCs w:val="28"/>
      </w:rPr>
      <w:t xml:space="preserve"> </w:t>
    </w:r>
  </w:p>
  <w:p w14:paraId="355CF417" w14:textId="290074A0" w:rsidR="001D17A2" w:rsidRPr="003E218E" w:rsidRDefault="001D17A2" w:rsidP="007B28BA">
    <w:pPr>
      <w:rPr>
        <w:rFonts w:ascii="Arial" w:hAnsi="Arial" w:cs="Arial"/>
        <w:b/>
        <w:sz w:val="28"/>
        <w:szCs w:val="28"/>
      </w:rPr>
    </w:pPr>
    <w:r w:rsidRPr="007B28BA">
      <w:rPr>
        <w:rFonts w:ascii="Arial" w:hAnsi="Arial" w:cs="Arial"/>
        <w:sz w:val="20"/>
        <w:szCs w:val="20"/>
      </w:rPr>
      <w:t xml:space="preserve">Comments – Medicare </w:t>
    </w:r>
    <w:r w:rsidR="00C8089F">
      <w:rPr>
        <w:rFonts w:ascii="Arial" w:hAnsi="Arial" w:cs="Arial"/>
        <w:sz w:val="20"/>
        <w:szCs w:val="20"/>
      </w:rPr>
      <w:t xml:space="preserve">FY </w:t>
    </w:r>
    <w:r w:rsidRPr="007B28BA">
      <w:rPr>
        <w:rFonts w:ascii="Arial" w:hAnsi="Arial" w:cs="Arial"/>
        <w:sz w:val="20"/>
        <w:szCs w:val="20"/>
      </w:rPr>
      <w:t>20</w:t>
    </w:r>
    <w:r>
      <w:rPr>
        <w:rFonts w:ascii="Arial" w:hAnsi="Arial" w:cs="Arial"/>
        <w:sz w:val="20"/>
        <w:szCs w:val="20"/>
      </w:rPr>
      <w:t>2</w:t>
    </w:r>
    <w:r w:rsidR="00A14D95">
      <w:rPr>
        <w:rFonts w:ascii="Arial" w:hAnsi="Arial" w:cs="Arial"/>
        <w:sz w:val="20"/>
        <w:szCs w:val="20"/>
      </w:rPr>
      <w:t>2</w:t>
    </w:r>
    <w:r w:rsidRPr="007B28BA">
      <w:rPr>
        <w:rFonts w:ascii="Arial" w:hAnsi="Arial" w:cs="Arial"/>
        <w:sz w:val="20"/>
        <w:szCs w:val="20"/>
      </w:rPr>
      <w:t xml:space="preserve"> IPPS Proposed Rule</w:t>
    </w:r>
    <w:r>
      <w:rPr>
        <w:rFonts w:ascii="Arial" w:hAnsi="Arial" w:cs="Arial"/>
        <w:sz w:val="20"/>
        <w:szCs w:val="20"/>
      </w:rPr>
      <w:t xml:space="preserve">  </w:t>
    </w:r>
  </w:p>
  <w:p w14:paraId="4A0CD60B" w14:textId="408109D0" w:rsidR="001D17A2" w:rsidRPr="007B28BA" w:rsidRDefault="00A14D95" w:rsidP="007B28BA">
    <w:pPr>
      <w:rPr>
        <w:rFonts w:ascii="Arial" w:hAnsi="Arial" w:cs="Arial"/>
        <w:sz w:val="20"/>
        <w:szCs w:val="20"/>
      </w:rPr>
    </w:pPr>
    <w:r>
      <w:rPr>
        <w:rFonts w:ascii="Arial" w:hAnsi="Arial" w:cs="Arial"/>
        <w:sz w:val="20"/>
        <w:szCs w:val="20"/>
      </w:rPr>
      <w:t xml:space="preserve">June </w:t>
    </w:r>
    <w:r w:rsidR="00C8089F">
      <w:rPr>
        <w:rFonts w:ascii="Arial" w:hAnsi="Arial" w:cs="Arial"/>
        <w:sz w:val="20"/>
        <w:szCs w:val="20"/>
      </w:rPr>
      <w:t>2</w:t>
    </w:r>
    <w:r w:rsidR="00E16AC9">
      <w:rPr>
        <w:rFonts w:ascii="Arial" w:hAnsi="Arial" w:cs="Arial"/>
        <w:sz w:val="20"/>
        <w:szCs w:val="20"/>
      </w:rPr>
      <w:t>5</w:t>
    </w:r>
    <w:r w:rsidR="001D17A2" w:rsidRPr="007B28BA">
      <w:rPr>
        <w:rFonts w:ascii="Arial" w:hAnsi="Arial" w:cs="Arial"/>
        <w:sz w:val="20"/>
        <w:szCs w:val="20"/>
      </w:rPr>
      <w:t>, 20</w:t>
    </w:r>
    <w:r w:rsidR="004E2896">
      <w:rPr>
        <w:rFonts w:ascii="Arial" w:hAnsi="Arial" w:cs="Arial"/>
        <w:sz w:val="20"/>
        <w:szCs w:val="20"/>
      </w:rPr>
      <w:t>2</w:t>
    </w:r>
    <w:r>
      <w:rPr>
        <w:rFonts w:ascii="Arial" w:hAnsi="Arial" w:cs="Arial"/>
        <w:sz w:val="20"/>
        <w:szCs w:val="20"/>
      </w:rPr>
      <w:t>1</w:t>
    </w:r>
  </w:p>
  <w:p w14:paraId="2A7BDB7D" w14:textId="22234D38"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B07E80">
          <w:rPr>
            <w:rFonts w:ascii="Arial" w:hAnsi="Arial" w:cs="Arial"/>
            <w:noProof/>
            <w:sz w:val="20"/>
            <w:szCs w:val="20"/>
          </w:rPr>
          <w:t>8</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B11" w14:textId="2BAFA06A" w:rsidR="001D17A2" w:rsidRDefault="00836C36">
    <w:pPr>
      <w:pStyle w:val="Header"/>
    </w:pPr>
    <w:r>
      <w:rPr>
        <w:noProof/>
      </w:rPr>
      <w:drawing>
        <wp:anchor distT="0" distB="0" distL="114300" distR="114300" simplePos="0" relativeHeight="251661312" behindDoc="0" locked="0" layoutInCell="1" allowOverlap="1" wp14:anchorId="0BA9CF17" wp14:editId="6E24781E">
          <wp:simplePos x="0" y="0"/>
          <wp:positionH relativeFrom="page">
            <wp:align>right</wp:align>
          </wp:positionH>
          <wp:positionV relativeFrom="page">
            <wp:posOffset>19050</wp:posOffset>
          </wp:positionV>
          <wp:extent cx="7772400" cy="1389888"/>
          <wp:effectExtent l="0" t="0" r="0" b="1270"/>
          <wp:wrapTight wrapText="bothSides">
            <wp:wrapPolygon edited="0">
              <wp:start x="0" y="0"/>
              <wp:lineTo x="0" y="21324"/>
              <wp:lineTo x="21547" y="21324"/>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45F24"/>
    <w:multiLevelType w:val="hybridMultilevel"/>
    <w:tmpl w:val="6C7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6CE"/>
    <w:multiLevelType w:val="hybridMultilevel"/>
    <w:tmpl w:val="0758F5D4"/>
    <w:lvl w:ilvl="0" w:tplc="3674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398A"/>
    <w:multiLevelType w:val="hybridMultilevel"/>
    <w:tmpl w:val="695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411F4"/>
    <w:multiLevelType w:val="hybridMultilevel"/>
    <w:tmpl w:val="CBC8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E77428"/>
    <w:multiLevelType w:val="hybridMultilevel"/>
    <w:tmpl w:val="D654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A00A77"/>
    <w:multiLevelType w:val="hybridMultilevel"/>
    <w:tmpl w:val="061259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D936CE0"/>
    <w:multiLevelType w:val="hybridMultilevel"/>
    <w:tmpl w:val="5DD0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A11F9"/>
    <w:multiLevelType w:val="hybridMultilevel"/>
    <w:tmpl w:val="7E3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B3088"/>
    <w:multiLevelType w:val="hybridMultilevel"/>
    <w:tmpl w:val="10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30E24"/>
    <w:multiLevelType w:val="hybridMultilevel"/>
    <w:tmpl w:val="4B06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A2612"/>
    <w:multiLevelType w:val="hybridMultilevel"/>
    <w:tmpl w:val="64F6C666"/>
    <w:lvl w:ilvl="0" w:tplc="8EC802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B4145"/>
    <w:multiLevelType w:val="hybridMultilevel"/>
    <w:tmpl w:val="627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D350F"/>
    <w:multiLevelType w:val="hybridMultilevel"/>
    <w:tmpl w:val="8192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17"/>
  </w:num>
  <w:num w:numId="5">
    <w:abstractNumId w:val="22"/>
  </w:num>
  <w:num w:numId="6">
    <w:abstractNumId w:val="15"/>
  </w:num>
  <w:num w:numId="7">
    <w:abstractNumId w:val="21"/>
  </w:num>
  <w:num w:numId="8">
    <w:abstractNumId w:val="18"/>
  </w:num>
  <w:num w:numId="9">
    <w:abstractNumId w:val="3"/>
  </w:num>
  <w:num w:numId="10">
    <w:abstractNumId w:val="4"/>
  </w:num>
  <w:num w:numId="11">
    <w:abstractNumId w:val="13"/>
  </w:num>
  <w:num w:numId="12">
    <w:abstractNumId w:val="2"/>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4"/>
  </w:num>
  <w:num w:numId="19">
    <w:abstractNumId w:val="9"/>
  </w:num>
  <w:num w:numId="20">
    <w:abstractNumId w:val="7"/>
  </w:num>
  <w:num w:numId="21">
    <w:abstractNumId w:val="10"/>
  </w:num>
  <w:num w:numId="22">
    <w:abstractNumId w:val="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1A3"/>
    <w:rsid w:val="00000446"/>
    <w:rsid w:val="000155A2"/>
    <w:rsid w:val="00016A5E"/>
    <w:rsid w:val="0002192D"/>
    <w:rsid w:val="00040F37"/>
    <w:rsid w:val="0004332A"/>
    <w:rsid w:val="00045AC2"/>
    <w:rsid w:val="00046E3B"/>
    <w:rsid w:val="00047567"/>
    <w:rsid w:val="00047821"/>
    <w:rsid w:val="00061ABD"/>
    <w:rsid w:val="00072555"/>
    <w:rsid w:val="0007712A"/>
    <w:rsid w:val="0008636F"/>
    <w:rsid w:val="000A15BE"/>
    <w:rsid w:val="000A584F"/>
    <w:rsid w:val="000A71D5"/>
    <w:rsid w:val="000B4B5B"/>
    <w:rsid w:val="000C1594"/>
    <w:rsid w:val="000D2A39"/>
    <w:rsid w:val="000D4090"/>
    <w:rsid w:val="000D6956"/>
    <w:rsid w:val="000E1832"/>
    <w:rsid w:val="000F0CD7"/>
    <w:rsid w:val="000F57B7"/>
    <w:rsid w:val="00100926"/>
    <w:rsid w:val="00107400"/>
    <w:rsid w:val="001170D4"/>
    <w:rsid w:val="0012093D"/>
    <w:rsid w:val="001268F2"/>
    <w:rsid w:val="00131DD3"/>
    <w:rsid w:val="00134A3D"/>
    <w:rsid w:val="001411C2"/>
    <w:rsid w:val="00142C10"/>
    <w:rsid w:val="00145690"/>
    <w:rsid w:val="00156BAA"/>
    <w:rsid w:val="00157D38"/>
    <w:rsid w:val="00164388"/>
    <w:rsid w:val="0017651B"/>
    <w:rsid w:val="001767A6"/>
    <w:rsid w:val="00180702"/>
    <w:rsid w:val="001827E2"/>
    <w:rsid w:val="001840AD"/>
    <w:rsid w:val="00187B8D"/>
    <w:rsid w:val="001925A8"/>
    <w:rsid w:val="00194DA5"/>
    <w:rsid w:val="001973C6"/>
    <w:rsid w:val="001A08DA"/>
    <w:rsid w:val="001A19AA"/>
    <w:rsid w:val="001A19BA"/>
    <w:rsid w:val="001A6F98"/>
    <w:rsid w:val="001B09EE"/>
    <w:rsid w:val="001B2D35"/>
    <w:rsid w:val="001B5423"/>
    <w:rsid w:val="001C4DAB"/>
    <w:rsid w:val="001C5D8D"/>
    <w:rsid w:val="001D17A2"/>
    <w:rsid w:val="001D7B0C"/>
    <w:rsid w:val="001E3194"/>
    <w:rsid w:val="001E35FA"/>
    <w:rsid w:val="001E6046"/>
    <w:rsid w:val="001F19BD"/>
    <w:rsid w:val="001F5ADA"/>
    <w:rsid w:val="00201714"/>
    <w:rsid w:val="00201784"/>
    <w:rsid w:val="002102FA"/>
    <w:rsid w:val="0021449C"/>
    <w:rsid w:val="00216A78"/>
    <w:rsid w:val="002232E6"/>
    <w:rsid w:val="0022598A"/>
    <w:rsid w:val="0024253D"/>
    <w:rsid w:val="00244AA6"/>
    <w:rsid w:val="00247B19"/>
    <w:rsid w:val="00247B75"/>
    <w:rsid w:val="00250A57"/>
    <w:rsid w:val="00252C57"/>
    <w:rsid w:val="00253B8D"/>
    <w:rsid w:val="0026157D"/>
    <w:rsid w:val="0026461C"/>
    <w:rsid w:val="00277B48"/>
    <w:rsid w:val="00281104"/>
    <w:rsid w:val="0028612F"/>
    <w:rsid w:val="002863CA"/>
    <w:rsid w:val="00286BB0"/>
    <w:rsid w:val="00286FFB"/>
    <w:rsid w:val="00297F8D"/>
    <w:rsid w:val="002A5718"/>
    <w:rsid w:val="002B1090"/>
    <w:rsid w:val="002B1F3C"/>
    <w:rsid w:val="002C4FD6"/>
    <w:rsid w:val="002C5E6E"/>
    <w:rsid w:val="002C7294"/>
    <w:rsid w:val="002D4C9B"/>
    <w:rsid w:val="002E17BB"/>
    <w:rsid w:val="002E33DD"/>
    <w:rsid w:val="002F33B5"/>
    <w:rsid w:val="0030637A"/>
    <w:rsid w:val="003146F8"/>
    <w:rsid w:val="003213B5"/>
    <w:rsid w:val="00325E40"/>
    <w:rsid w:val="003375FE"/>
    <w:rsid w:val="00341094"/>
    <w:rsid w:val="00345088"/>
    <w:rsid w:val="00372D0F"/>
    <w:rsid w:val="0037567A"/>
    <w:rsid w:val="00376879"/>
    <w:rsid w:val="00377F50"/>
    <w:rsid w:val="003803D8"/>
    <w:rsid w:val="00380912"/>
    <w:rsid w:val="0038648A"/>
    <w:rsid w:val="00393801"/>
    <w:rsid w:val="003A0A41"/>
    <w:rsid w:val="003A125E"/>
    <w:rsid w:val="003B72D4"/>
    <w:rsid w:val="003B7F0D"/>
    <w:rsid w:val="003D1FC5"/>
    <w:rsid w:val="003E0562"/>
    <w:rsid w:val="003E0615"/>
    <w:rsid w:val="003E218E"/>
    <w:rsid w:val="003E639D"/>
    <w:rsid w:val="003F28B1"/>
    <w:rsid w:val="003F3419"/>
    <w:rsid w:val="003F6B19"/>
    <w:rsid w:val="00400A8E"/>
    <w:rsid w:val="00405AFD"/>
    <w:rsid w:val="004155D9"/>
    <w:rsid w:val="004219E6"/>
    <w:rsid w:val="00431FCC"/>
    <w:rsid w:val="00433E42"/>
    <w:rsid w:val="00436037"/>
    <w:rsid w:val="0044591A"/>
    <w:rsid w:val="004519CE"/>
    <w:rsid w:val="004659FA"/>
    <w:rsid w:val="00485A4B"/>
    <w:rsid w:val="004960C4"/>
    <w:rsid w:val="004A1973"/>
    <w:rsid w:val="004A6D46"/>
    <w:rsid w:val="004A7B87"/>
    <w:rsid w:val="004B09A7"/>
    <w:rsid w:val="004B0A32"/>
    <w:rsid w:val="004C4CFC"/>
    <w:rsid w:val="004C6459"/>
    <w:rsid w:val="004D5283"/>
    <w:rsid w:val="004E2896"/>
    <w:rsid w:val="004E36C2"/>
    <w:rsid w:val="004F149F"/>
    <w:rsid w:val="004F629F"/>
    <w:rsid w:val="0050735A"/>
    <w:rsid w:val="00514202"/>
    <w:rsid w:val="00517E6B"/>
    <w:rsid w:val="00521119"/>
    <w:rsid w:val="00525637"/>
    <w:rsid w:val="00526433"/>
    <w:rsid w:val="00536867"/>
    <w:rsid w:val="00546BF0"/>
    <w:rsid w:val="005527F9"/>
    <w:rsid w:val="00552F85"/>
    <w:rsid w:val="00556703"/>
    <w:rsid w:val="005637B0"/>
    <w:rsid w:val="00571506"/>
    <w:rsid w:val="005759C2"/>
    <w:rsid w:val="0058013C"/>
    <w:rsid w:val="005A5123"/>
    <w:rsid w:val="005A7823"/>
    <w:rsid w:val="005B01CF"/>
    <w:rsid w:val="005B2CD9"/>
    <w:rsid w:val="005C3462"/>
    <w:rsid w:val="005C5CB0"/>
    <w:rsid w:val="005D0EE5"/>
    <w:rsid w:val="005D50D5"/>
    <w:rsid w:val="005D7C3D"/>
    <w:rsid w:val="005E0A1B"/>
    <w:rsid w:val="005E12D9"/>
    <w:rsid w:val="005E343C"/>
    <w:rsid w:val="005E3F06"/>
    <w:rsid w:val="005E4EBD"/>
    <w:rsid w:val="005F3446"/>
    <w:rsid w:val="005F6EA4"/>
    <w:rsid w:val="006140AE"/>
    <w:rsid w:val="00615279"/>
    <w:rsid w:val="00615E1A"/>
    <w:rsid w:val="006169F9"/>
    <w:rsid w:val="006317B3"/>
    <w:rsid w:val="00631DB6"/>
    <w:rsid w:val="00635F77"/>
    <w:rsid w:val="00642193"/>
    <w:rsid w:val="006426AF"/>
    <w:rsid w:val="00650437"/>
    <w:rsid w:val="00661E33"/>
    <w:rsid w:val="00662436"/>
    <w:rsid w:val="00664CB9"/>
    <w:rsid w:val="00681BE1"/>
    <w:rsid w:val="006821C4"/>
    <w:rsid w:val="006919E6"/>
    <w:rsid w:val="00694277"/>
    <w:rsid w:val="006A027A"/>
    <w:rsid w:val="006A08A5"/>
    <w:rsid w:val="006A0C87"/>
    <w:rsid w:val="006A78FE"/>
    <w:rsid w:val="006B5466"/>
    <w:rsid w:val="006D0864"/>
    <w:rsid w:val="006D4D2B"/>
    <w:rsid w:val="006D5C40"/>
    <w:rsid w:val="00701925"/>
    <w:rsid w:val="0071272E"/>
    <w:rsid w:val="007228FA"/>
    <w:rsid w:val="007333BE"/>
    <w:rsid w:val="00734CBF"/>
    <w:rsid w:val="007409AA"/>
    <w:rsid w:val="00746ACA"/>
    <w:rsid w:val="00754497"/>
    <w:rsid w:val="00764188"/>
    <w:rsid w:val="00776657"/>
    <w:rsid w:val="0077677E"/>
    <w:rsid w:val="00784CCA"/>
    <w:rsid w:val="007907D4"/>
    <w:rsid w:val="00792BA4"/>
    <w:rsid w:val="00795F36"/>
    <w:rsid w:val="00796205"/>
    <w:rsid w:val="007A404A"/>
    <w:rsid w:val="007A4A30"/>
    <w:rsid w:val="007A5004"/>
    <w:rsid w:val="007A5A04"/>
    <w:rsid w:val="007B111B"/>
    <w:rsid w:val="007B16F7"/>
    <w:rsid w:val="007B28BA"/>
    <w:rsid w:val="007B2E12"/>
    <w:rsid w:val="007B7EC6"/>
    <w:rsid w:val="007D31DC"/>
    <w:rsid w:val="007D75D3"/>
    <w:rsid w:val="007E2E7E"/>
    <w:rsid w:val="007F0E05"/>
    <w:rsid w:val="007F1583"/>
    <w:rsid w:val="007F72A7"/>
    <w:rsid w:val="00804ADD"/>
    <w:rsid w:val="00812D39"/>
    <w:rsid w:val="00813E05"/>
    <w:rsid w:val="00814851"/>
    <w:rsid w:val="00822904"/>
    <w:rsid w:val="008342AA"/>
    <w:rsid w:val="00834FE7"/>
    <w:rsid w:val="00836C36"/>
    <w:rsid w:val="008513E4"/>
    <w:rsid w:val="00862539"/>
    <w:rsid w:val="00865C02"/>
    <w:rsid w:val="00867B1C"/>
    <w:rsid w:val="0088034E"/>
    <w:rsid w:val="00891E63"/>
    <w:rsid w:val="00897A5C"/>
    <w:rsid w:val="008A4FBA"/>
    <w:rsid w:val="008B18FE"/>
    <w:rsid w:val="008B499D"/>
    <w:rsid w:val="008D2340"/>
    <w:rsid w:val="008D4474"/>
    <w:rsid w:val="008D5E2C"/>
    <w:rsid w:val="008E594A"/>
    <w:rsid w:val="008E6446"/>
    <w:rsid w:val="008F34ED"/>
    <w:rsid w:val="008F53B8"/>
    <w:rsid w:val="008F5A40"/>
    <w:rsid w:val="008F5CDB"/>
    <w:rsid w:val="00901D2D"/>
    <w:rsid w:val="00902FF3"/>
    <w:rsid w:val="009100E1"/>
    <w:rsid w:val="009202CF"/>
    <w:rsid w:val="009211FE"/>
    <w:rsid w:val="00923B95"/>
    <w:rsid w:val="00927888"/>
    <w:rsid w:val="00930164"/>
    <w:rsid w:val="009362D8"/>
    <w:rsid w:val="00937720"/>
    <w:rsid w:val="009477E4"/>
    <w:rsid w:val="00957A0A"/>
    <w:rsid w:val="00972B9F"/>
    <w:rsid w:val="009A1CBA"/>
    <w:rsid w:val="009A3CCB"/>
    <w:rsid w:val="009B02F7"/>
    <w:rsid w:val="009B697E"/>
    <w:rsid w:val="009C0FEA"/>
    <w:rsid w:val="009C16E1"/>
    <w:rsid w:val="009C317D"/>
    <w:rsid w:val="009C790F"/>
    <w:rsid w:val="009F3BBC"/>
    <w:rsid w:val="009F44F2"/>
    <w:rsid w:val="00A007F8"/>
    <w:rsid w:val="00A06B26"/>
    <w:rsid w:val="00A14D95"/>
    <w:rsid w:val="00A22B1B"/>
    <w:rsid w:val="00A25C84"/>
    <w:rsid w:val="00A33981"/>
    <w:rsid w:val="00A34C29"/>
    <w:rsid w:val="00A355FB"/>
    <w:rsid w:val="00A35FD4"/>
    <w:rsid w:val="00A41D7D"/>
    <w:rsid w:val="00A45407"/>
    <w:rsid w:val="00A53A43"/>
    <w:rsid w:val="00A5767E"/>
    <w:rsid w:val="00A57BEF"/>
    <w:rsid w:val="00A606BF"/>
    <w:rsid w:val="00A609F0"/>
    <w:rsid w:val="00A61C97"/>
    <w:rsid w:val="00A66F62"/>
    <w:rsid w:val="00A67BF2"/>
    <w:rsid w:val="00A7265D"/>
    <w:rsid w:val="00A72D49"/>
    <w:rsid w:val="00A7345F"/>
    <w:rsid w:val="00A87221"/>
    <w:rsid w:val="00AA50E6"/>
    <w:rsid w:val="00AA78B5"/>
    <w:rsid w:val="00AB4D17"/>
    <w:rsid w:val="00AC0658"/>
    <w:rsid w:val="00AC47E1"/>
    <w:rsid w:val="00AE1FCF"/>
    <w:rsid w:val="00AE736A"/>
    <w:rsid w:val="00AF40C9"/>
    <w:rsid w:val="00AF4543"/>
    <w:rsid w:val="00AF5D29"/>
    <w:rsid w:val="00B04998"/>
    <w:rsid w:val="00B06ACE"/>
    <w:rsid w:val="00B07E80"/>
    <w:rsid w:val="00B41487"/>
    <w:rsid w:val="00B4280B"/>
    <w:rsid w:val="00B462A3"/>
    <w:rsid w:val="00B51B8A"/>
    <w:rsid w:val="00B565C0"/>
    <w:rsid w:val="00B61C47"/>
    <w:rsid w:val="00B62874"/>
    <w:rsid w:val="00B64A74"/>
    <w:rsid w:val="00B64AF3"/>
    <w:rsid w:val="00B66E71"/>
    <w:rsid w:val="00B76ED1"/>
    <w:rsid w:val="00B87FF2"/>
    <w:rsid w:val="00B924BC"/>
    <w:rsid w:val="00B93B94"/>
    <w:rsid w:val="00BA14A9"/>
    <w:rsid w:val="00BB7852"/>
    <w:rsid w:val="00BC6502"/>
    <w:rsid w:val="00BD2417"/>
    <w:rsid w:val="00BD454A"/>
    <w:rsid w:val="00BF0C8A"/>
    <w:rsid w:val="00C00F3C"/>
    <w:rsid w:val="00C23028"/>
    <w:rsid w:val="00C26ACD"/>
    <w:rsid w:val="00C33780"/>
    <w:rsid w:val="00C375EA"/>
    <w:rsid w:val="00C40B06"/>
    <w:rsid w:val="00C4189F"/>
    <w:rsid w:val="00C42253"/>
    <w:rsid w:val="00C44838"/>
    <w:rsid w:val="00C45F64"/>
    <w:rsid w:val="00C4771F"/>
    <w:rsid w:val="00C47BED"/>
    <w:rsid w:val="00C51A77"/>
    <w:rsid w:val="00C557CC"/>
    <w:rsid w:val="00C60070"/>
    <w:rsid w:val="00C6724C"/>
    <w:rsid w:val="00C70BBC"/>
    <w:rsid w:val="00C74AAC"/>
    <w:rsid w:val="00C8089F"/>
    <w:rsid w:val="00C81570"/>
    <w:rsid w:val="00CC3A42"/>
    <w:rsid w:val="00CD0AA3"/>
    <w:rsid w:val="00CD1BD0"/>
    <w:rsid w:val="00CF1436"/>
    <w:rsid w:val="00CF430C"/>
    <w:rsid w:val="00CF4498"/>
    <w:rsid w:val="00CF4D0E"/>
    <w:rsid w:val="00CF6955"/>
    <w:rsid w:val="00D03B8C"/>
    <w:rsid w:val="00D04548"/>
    <w:rsid w:val="00D056C2"/>
    <w:rsid w:val="00D1070E"/>
    <w:rsid w:val="00D11342"/>
    <w:rsid w:val="00D226FD"/>
    <w:rsid w:val="00D2744F"/>
    <w:rsid w:val="00D34BEB"/>
    <w:rsid w:val="00D42216"/>
    <w:rsid w:val="00D43C49"/>
    <w:rsid w:val="00D45F58"/>
    <w:rsid w:val="00D56BC8"/>
    <w:rsid w:val="00D60FA7"/>
    <w:rsid w:val="00D61F98"/>
    <w:rsid w:val="00D66D71"/>
    <w:rsid w:val="00D82683"/>
    <w:rsid w:val="00D95486"/>
    <w:rsid w:val="00DA0F24"/>
    <w:rsid w:val="00DA13A9"/>
    <w:rsid w:val="00DB026E"/>
    <w:rsid w:val="00DB4EEA"/>
    <w:rsid w:val="00DC017E"/>
    <w:rsid w:val="00DC01A8"/>
    <w:rsid w:val="00DC38B9"/>
    <w:rsid w:val="00DC7200"/>
    <w:rsid w:val="00DD15E8"/>
    <w:rsid w:val="00DD3B9C"/>
    <w:rsid w:val="00E0110B"/>
    <w:rsid w:val="00E04882"/>
    <w:rsid w:val="00E10D86"/>
    <w:rsid w:val="00E13F89"/>
    <w:rsid w:val="00E16AC9"/>
    <w:rsid w:val="00E3487E"/>
    <w:rsid w:val="00E46745"/>
    <w:rsid w:val="00E47606"/>
    <w:rsid w:val="00E55FAF"/>
    <w:rsid w:val="00E70D0D"/>
    <w:rsid w:val="00E718AB"/>
    <w:rsid w:val="00E72228"/>
    <w:rsid w:val="00E7312A"/>
    <w:rsid w:val="00E754D4"/>
    <w:rsid w:val="00E96ECF"/>
    <w:rsid w:val="00E97FB3"/>
    <w:rsid w:val="00EA117D"/>
    <w:rsid w:val="00EA12A6"/>
    <w:rsid w:val="00EA3093"/>
    <w:rsid w:val="00EA399C"/>
    <w:rsid w:val="00EA6C06"/>
    <w:rsid w:val="00EB6797"/>
    <w:rsid w:val="00EC5F06"/>
    <w:rsid w:val="00ED1802"/>
    <w:rsid w:val="00ED26DC"/>
    <w:rsid w:val="00EE125C"/>
    <w:rsid w:val="00EE1BF9"/>
    <w:rsid w:val="00EE38A3"/>
    <w:rsid w:val="00EE6953"/>
    <w:rsid w:val="00EF7A06"/>
    <w:rsid w:val="00F01537"/>
    <w:rsid w:val="00F03AD2"/>
    <w:rsid w:val="00F052B2"/>
    <w:rsid w:val="00F06663"/>
    <w:rsid w:val="00F11972"/>
    <w:rsid w:val="00F1294A"/>
    <w:rsid w:val="00F220B8"/>
    <w:rsid w:val="00F24F3D"/>
    <w:rsid w:val="00F31954"/>
    <w:rsid w:val="00F359A4"/>
    <w:rsid w:val="00F404D0"/>
    <w:rsid w:val="00F4128D"/>
    <w:rsid w:val="00F537F4"/>
    <w:rsid w:val="00F636F0"/>
    <w:rsid w:val="00F65318"/>
    <w:rsid w:val="00F72506"/>
    <w:rsid w:val="00F75EDB"/>
    <w:rsid w:val="00F810F3"/>
    <w:rsid w:val="00F824F7"/>
    <w:rsid w:val="00F82E0F"/>
    <w:rsid w:val="00F93EEE"/>
    <w:rsid w:val="00FA032D"/>
    <w:rsid w:val="00FA0E0D"/>
    <w:rsid w:val="00FA16B7"/>
    <w:rsid w:val="00FB3BB5"/>
    <w:rsid w:val="00FC3ECF"/>
    <w:rsid w:val="00FC4B68"/>
    <w:rsid w:val="00FC7139"/>
    <w:rsid w:val="00FD7349"/>
    <w:rsid w:val="00FD7941"/>
    <w:rsid w:val="00FE3771"/>
    <w:rsid w:val="00FE399F"/>
    <w:rsid w:val="00FE4086"/>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link w:val="ListParagraphChar"/>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 w:type="character" w:customStyle="1" w:styleId="apple-converted-space">
    <w:name w:val="apple-converted-space"/>
    <w:basedOn w:val="DefaultParagraphFont"/>
    <w:rsid w:val="00A41D7D"/>
  </w:style>
  <w:style w:type="character" w:styleId="Strong">
    <w:name w:val="Strong"/>
    <w:basedOn w:val="DefaultParagraphFont"/>
    <w:uiPriority w:val="22"/>
    <w:qFormat/>
    <w:rsid w:val="00A41D7D"/>
    <w:rPr>
      <w:b/>
      <w:bCs/>
    </w:rPr>
  </w:style>
  <w:style w:type="paragraph" w:customStyle="1" w:styleId="xxmsonormal">
    <w:name w:val="x_xmsonormal"/>
    <w:basedOn w:val="Normal"/>
    <w:rsid w:val="00C74AAC"/>
    <w:rPr>
      <w:rFonts w:ascii="Calibri" w:hAnsi="Calibri" w:cs="Calibri"/>
      <w:sz w:val="22"/>
      <w:szCs w:val="22"/>
    </w:rPr>
  </w:style>
  <w:style w:type="paragraph" w:customStyle="1" w:styleId="Default">
    <w:name w:val="Default"/>
    <w:basedOn w:val="Normal"/>
    <w:rsid w:val="00E72228"/>
    <w:pPr>
      <w:autoSpaceDE w:val="0"/>
      <w:autoSpaceDN w:val="0"/>
    </w:pPr>
    <w:rPr>
      <w:rFonts w:ascii="Calibri" w:hAnsi="Calibri" w:cs="Calibri"/>
      <w:color w:val="000000"/>
    </w:rPr>
  </w:style>
  <w:style w:type="character" w:customStyle="1" w:styleId="ListParagraphChar">
    <w:name w:val="List Paragraph Char"/>
    <w:link w:val="ListParagraph"/>
    <w:uiPriority w:val="34"/>
    <w:locked/>
    <w:rsid w:val="007D31DC"/>
    <w:rPr>
      <w:sz w:val="22"/>
      <w:szCs w:val="22"/>
    </w:rPr>
  </w:style>
  <w:style w:type="character" w:styleId="Hyperlink">
    <w:name w:val="Hyperlink"/>
    <w:basedOn w:val="DefaultParagraphFont"/>
    <w:uiPriority w:val="99"/>
    <w:unhideWhenUsed/>
    <w:rsid w:val="00D66D71"/>
    <w:rPr>
      <w:color w:val="0563C1" w:themeColor="hyperlink"/>
      <w:u w:val="single"/>
    </w:rPr>
  </w:style>
  <w:style w:type="character" w:styleId="UnresolvedMention">
    <w:name w:val="Unresolved Mention"/>
    <w:basedOn w:val="DefaultParagraphFont"/>
    <w:uiPriority w:val="99"/>
    <w:rsid w:val="00D6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626">
      <w:bodyDiv w:val="1"/>
      <w:marLeft w:val="0"/>
      <w:marRight w:val="0"/>
      <w:marTop w:val="0"/>
      <w:marBottom w:val="0"/>
      <w:divBdr>
        <w:top w:val="none" w:sz="0" w:space="0" w:color="auto"/>
        <w:left w:val="none" w:sz="0" w:space="0" w:color="auto"/>
        <w:bottom w:val="none" w:sz="0" w:space="0" w:color="auto"/>
        <w:right w:val="none" w:sz="0" w:space="0" w:color="auto"/>
      </w:divBdr>
    </w:div>
    <w:div w:id="260996105">
      <w:bodyDiv w:val="1"/>
      <w:marLeft w:val="0"/>
      <w:marRight w:val="0"/>
      <w:marTop w:val="0"/>
      <w:marBottom w:val="0"/>
      <w:divBdr>
        <w:top w:val="none" w:sz="0" w:space="0" w:color="auto"/>
        <w:left w:val="none" w:sz="0" w:space="0" w:color="auto"/>
        <w:bottom w:val="none" w:sz="0" w:space="0" w:color="auto"/>
        <w:right w:val="none" w:sz="0" w:space="0" w:color="auto"/>
      </w:divBdr>
    </w:div>
    <w:div w:id="681592776">
      <w:bodyDiv w:val="1"/>
      <w:marLeft w:val="0"/>
      <w:marRight w:val="0"/>
      <w:marTop w:val="0"/>
      <w:marBottom w:val="0"/>
      <w:divBdr>
        <w:top w:val="none" w:sz="0" w:space="0" w:color="auto"/>
        <w:left w:val="none" w:sz="0" w:space="0" w:color="auto"/>
        <w:bottom w:val="none" w:sz="0" w:space="0" w:color="auto"/>
        <w:right w:val="none" w:sz="0" w:space="0" w:color="auto"/>
      </w:divBdr>
    </w:div>
    <w:div w:id="737821949">
      <w:bodyDiv w:val="1"/>
      <w:marLeft w:val="0"/>
      <w:marRight w:val="0"/>
      <w:marTop w:val="0"/>
      <w:marBottom w:val="0"/>
      <w:divBdr>
        <w:top w:val="none" w:sz="0" w:space="0" w:color="auto"/>
        <w:left w:val="none" w:sz="0" w:space="0" w:color="auto"/>
        <w:bottom w:val="none" w:sz="0" w:space="0" w:color="auto"/>
        <w:right w:val="none" w:sz="0" w:space="0" w:color="auto"/>
      </w:divBdr>
    </w:div>
    <w:div w:id="792017239">
      <w:bodyDiv w:val="1"/>
      <w:marLeft w:val="0"/>
      <w:marRight w:val="0"/>
      <w:marTop w:val="0"/>
      <w:marBottom w:val="0"/>
      <w:divBdr>
        <w:top w:val="none" w:sz="0" w:space="0" w:color="auto"/>
        <w:left w:val="none" w:sz="0" w:space="0" w:color="auto"/>
        <w:bottom w:val="none" w:sz="0" w:space="0" w:color="auto"/>
        <w:right w:val="none" w:sz="0" w:space="0" w:color="auto"/>
      </w:divBdr>
    </w:div>
    <w:div w:id="1024480163">
      <w:bodyDiv w:val="1"/>
      <w:marLeft w:val="0"/>
      <w:marRight w:val="0"/>
      <w:marTop w:val="0"/>
      <w:marBottom w:val="0"/>
      <w:divBdr>
        <w:top w:val="none" w:sz="0" w:space="0" w:color="auto"/>
        <w:left w:val="none" w:sz="0" w:space="0" w:color="auto"/>
        <w:bottom w:val="none" w:sz="0" w:space="0" w:color="auto"/>
        <w:right w:val="none" w:sz="0" w:space="0" w:color="auto"/>
      </w:divBdr>
    </w:div>
    <w:div w:id="1223252617">
      <w:bodyDiv w:val="1"/>
      <w:marLeft w:val="0"/>
      <w:marRight w:val="0"/>
      <w:marTop w:val="0"/>
      <w:marBottom w:val="0"/>
      <w:divBdr>
        <w:top w:val="none" w:sz="0" w:space="0" w:color="auto"/>
        <w:left w:val="none" w:sz="0" w:space="0" w:color="auto"/>
        <w:bottom w:val="none" w:sz="0" w:space="0" w:color="auto"/>
        <w:right w:val="none" w:sz="0" w:space="0" w:color="auto"/>
      </w:divBdr>
    </w:div>
    <w:div w:id="1307320774">
      <w:bodyDiv w:val="1"/>
      <w:marLeft w:val="0"/>
      <w:marRight w:val="0"/>
      <w:marTop w:val="0"/>
      <w:marBottom w:val="0"/>
      <w:divBdr>
        <w:top w:val="none" w:sz="0" w:space="0" w:color="auto"/>
        <w:left w:val="none" w:sz="0" w:space="0" w:color="auto"/>
        <w:bottom w:val="none" w:sz="0" w:space="0" w:color="auto"/>
        <w:right w:val="none" w:sz="0" w:space="0" w:color="auto"/>
      </w:divBdr>
    </w:div>
    <w:div w:id="1603494927">
      <w:bodyDiv w:val="1"/>
      <w:marLeft w:val="0"/>
      <w:marRight w:val="0"/>
      <w:marTop w:val="0"/>
      <w:marBottom w:val="0"/>
      <w:divBdr>
        <w:top w:val="none" w:sz="0" w:space="0" w:color="auto"/>
        <w:left w:val="none" w:sz="0" w:space="0" w:color="auto"/>
        <w:bottom w:val="none" w:sz="0" w:space="0" w:color="auto"/>
        <w:right w:val="none" w:sz="0" w:space="0" w:color="auto"/>
      </w:divBdr>
    </w:div>
    <w:div w:id="1771662268">
      <w:bodyDiv w:val="1"/>
      <w:marLeft w:val="0"/>
      <w:marRight w:val="0"/>
      <w:marTop w:val="0"/>
      <w:marBottom w:val="0"/>
      <w:divBdr>
        <w:top w:val="none" w:sz="0" w:space="0" w:color="auto"/>
        <w:left w:val="none" w:sz="0" w:space="0" w:color="auto"/>
        <w:bottom w:val="none" w:sz="0" w:space="0" w:color="auto"/>
        <w:right w:val="none" w:sz="0" w:space="0" w:color="auto"/>
      </w:divBdr>
    </w:div>
    <w:div w:id="1982734505">
      <w:bodyDiv w:val="1"/>
      <w:marLeft w:val="0"/>
      <w:marRight w:val="0"/>
      <w:marTop w:val="0"/>
      <w:marBottom w:val="0"/>
      <w:divBdr>
        <w:top w:val="none" w:sz="0" w:space="0" w:color="auto"/>
        <w:left w:val="none" w:sz="0" w:space="0" w:color="auto"/>
        <w:bottom w:val="none" w:sz="0" w:space="0" w:color="auto"/>
        <w:right w:val="none" w:sz="0" w:space="0" w:color="auto"/>
      </w:divBdr>
    </w:div>
    <w:div w:id="2007900438">
      <w:bodyDiv w:val="1"/>
      <w:marLeft w:val="0"/>
      <w:marRight w:val="0"/>
      <w:marTop w:val="0"/>
      <w:marBottom w:val="0"/>
      <w:divBdr>
        <w:top w:val="none" w:sz="0" w:space="0" w:color="auto"/>
        <w:left w:val="none" w:sz="0" w:space="0" w:color="auto"/>
        <w:bottom w:val="none" w:sz="0" w:space="0" w:color="auto"/>
        <w:right w:val="none" w:sz="0" w:space="0" w:color="auto"/>
      </w:divBdr>
    </w:div>
    <w:div w:id="203064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p.org/family-physician/patient-care/the-everyone-project/toolkit.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achc.org/research-and-data/prapare/about-the-prapare-assessment-too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kunz@mh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ms.gov/files/document/cms-omh-january2020-zcode-data-highlightpdf.pdf" TargetMode="External"/><Relationship Id="rId4" Type="http://schemas.openxmlformats.org/officeDocument/2006/relationships/webSettings" Target="webSettings.xml"/><Relationship Id="rId9" Type="http://schemas.openxmlformats.org/officeDocument/2006/relationships/hyperlink" Target="https://innovation.cms.gov/Files/worksheets/ahcm-screeningtool.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100year_Letterhead_CAC (1).dotx</Template>
  <TotalTime>1615</TotalTime>
  <Pages>10</Pages>
  <Words>5797</Words>
  <Characters>32081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156</cp:revision>
  <cp:lastPrinted>2021-06-25T13:33:00Z</cp:lastPrinted>
  <dcterms:created xsi:type="dcterms:W3CDTF">2021-06-10T17:21:00Z</dcterms:created>
  <dcterms:modified xsi:type="dcterms:W3CDTF">2021-06-25T16:10:00Z</dcterms:modified>
</cp:coreProperties>
</file>